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620"/>
        <w:tblW w:w="9380" w:type="dxa"/>
        <w:tblCellMar>
          <w:left w:w="70" w:type="dxa"/>
          <w:right w:w="70" w:type="dxa"/>
        </w:tblCellMar>
        <w:tblLook w:val="04A0" w:firstRow="1" w:lastRow="0" w:firstColumn="1" w:lastColumn="0" w:noHBand="0" w:noVBand="1"/>
      </w:tblPr>
      <w:tblGrid>
        <w:gridCol w:w="9380"/>
      </w:tblGrid>
      <w:tr w:rsidR="00A70450" w:rsidRPr="00A70450" w:rsidTr="00A70450">
        <w:trPr>
          <w:trHeight w:val="300"/>
        </w:trPr>
        <w:tc>
          <w:tcPr>
            <w:tcW w:w="9380" w:type="dxa"/>
            <w:tcBorders>
              <w:top w:val="nil"/>
              <w:left w:val="nil"/>
              <w:bottom w:val="nil"/>
              <w:right w:val="nil"/>
            </w:tcBorders>
            <w:shd w:val="clear" w:color="000000" w:fill="FFFFFF"/>
            <w:vAlign w:val="bottom"/>
            <w:hideMark/>
          </w:tcPr>
          <w:p w:rsidR="00A70450" w:rsidRPr="00A70450" w:rsidRDefault="00A70450" w:rsidP="00A70450">
            <w:pPr>
              <w:spacing w:after="0" w:line="240" w:lineRule="auto"/>
              <w:jc w:val="center"/>
              <w:rPr>
                <w:rFonts w:ascii="Roboto Condensed" w:eastAsia="Times New Roman" w:hAnsi="Roboto Condensed" w:cs="Times New Roman"/>
                <w:b/>
                <w:bCs/>
                <w:color w:val="000000"/>
                <w:lang w:eastAsia="et-EE"/>
              </w:rPr>
            </w:pPr>
            <w:r w:rsidRPr="00A70450">
              <w:rPr>
                <w:rFonts w:ascii="Roboto Condensed" w:eastAsia="Times New Roman" w:hAnsi="Roboto Condensed" w:cs="Times New Roman"/>
                <w:b/>
                <w:bCs/>
                <w:color w:val="000000"/>
                <w:lang w:eastAsia="et-EE"/>
              </w:rPr>
              <w:t xml:space="preserve">C. STRATEEGIA MEEDE </w:t>
            </w:r>
            <w:r w:rsidRPr="00A70450">
              <w:rPr>
                <w:rFonts w:ascii="Calibri" w:eastAsia="Times New Roman" w:hAnsi="Calibri" w:cs="Times New Roman"/>
                <w:b/>
                <w:bCs/>
                <w:color w:val="000000"/>
                <w:lang w:eastAsia="et-EE"/>
              </w:rPr>
              <w:t>¹</w:t>
            </w:r>
          </w:p>
        </w:tc>
      </w:tr>
      <w:tr w:rsidR="00A70450" w:rsidRPr="00A70450" w:rsidTr="00A70450">
        <w:trPr>
          <w:trHeight w:val="285"/>
        </w:trPr>
        <w:tc>
          <w:tcPr>
            <w:tcW w:w="9380" w:type="dxa"/>
            <w:tcBorders>
              <w:top w:val="nil"/>
              <w:left w:val="nil"/>
              <w:bottom w:val="nil"/>
              <w:right w:val="nil"/>
            </w:tcBorders>
            <w:shd w:val="clear" w:color="000000" w:fill="FFFFFF"/>
            <w:noWrap/>
            <w:hideMark/>
          </w:tcPr>
          <w:p w:rsidR="00A70450" w:rsidRPr="00A70450" w:rsidRDefault="00A70450" w:rsidP="00A70450">
            <w:pPr>
              <w:spacing w:after="0" w:line="240" w:lineRule="auto"/>
              <w:jc w:val="center"/>
              <w:rPr>
                <w:rFonts w:ascii="Roboto Condensed" w:eastAsia="Times New Roman" w:hAnsi="Roboto Condensed" w:cs="Times New Roman"/>
                <w:color w:val="000000"/>
                <w:lang w:eastAsia="et-EE"/>
              </w:rPr>
            </w:pPr>
            <w:r w:rsidRPr="00A70450">
              <w:rPr>
                <w:rFonts w:ascii="Roboto Condensed" w:eastAsia="Times New Roman" w:hAnsi="Roboto Condensed" w:cs="Times New Roman"/>
                <w:color w:val="000000"/>
                <w:lang w:eastAsia="et-EE"/>
              </w:rPr>
              <w:t> </w:t>
            </w:r>
          </w:p>
        </w:tc>
      </w:tr>
      <w:tr w:rsidR="00A70450" w:rsidRPr="00A70450" w:rsidTr="0030239D">
        <w:trPr>
          <w:trHeight w:val="285"/>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noWrap/>
            <w:hideMark/>
          </w:tcPr>
          <w:p w:rsidR="00A70450" w:rsidRPr="001E33A0" w:rsidRDefault="00A70450" w:rsidP="00A70450">
            <w:pPr>
              <w:spacing w:after="0" w:line="240" w:lineRule="auto"/>
              <w:rPr>
                <w:rFonts w:ascii="Roboto Condensed" w:eastAsia="Times New Roman" w:hAnsi="Roboto Condensed" w:cs="Times New Roman"/>
                <w:b/>
                <w:color w:val="000000"/>
                <w:lang w:eastAsia="et-EE"/>
              </w:rPr>
            </w:pPr>
            <w:r w:rsidRPr="001E33A0">
              <w:rPr>
                <w:rFonts w:ascii="Roboto Condensed" w:eastAsia="Times New Roman" w:hAnsi="Roboto Condensed" w:cs="Times New Roman"/>
                <w:b/>
                <w:color w:val="000000"/>
                <w:lang w:eastAsia="et-EE"/>
              </w:rPr>
              <w:t>Strateegia meetme nimetus</w:t>
            </w:r>
          </w:p>
        </w:tc>
      </w:tr>
      <w:tr w:rsidR="00A70450" w:rsidRPr="00A70450" w:rsidTr="0020080D">
        <w:trPr>
          <w:trHeight w:val="526"/>
        </w:trPr>
        <w:tc>
          <w:tcPr>
            <w:tcW w:w="9380" w:type="dxa"/>
            <w:tcBorders>
              <w:top w:val="single" w:sz="4" w:space="0" w:color="auto"/>
              <w:left w:val="single" w:sz="4" w:space="0" w:color="auto"/>
              <w:bottom w:val="single" w:sz="4" w:space="0" w:color="auto"/>
              <w:right w:val="single" w:sz="4" w:space="0" w:color="000000"/>
            </w:tcBorders>
            <w:shd w:val="clear" w:color="auto" w:fill="auto"/>
            <w:hideMark/>
          </w:tcPr>
          <w:p w:rsidR="00A70450" w:rsidRPr="00A70450" w:rsidRDefault="00A70450" w:rsidP="00A70450">
            <w:pPr>
              <w:spacing w:after="0" w:line="240" w:lineRule="auto"/>
              <w:jc w:val="center"/>
              <w:rPr>
                <w:rFonts w:ascii="Times New Roman" w:eastAsia="Times New Roman" w:hAnsi="Times New Roman" w:cs="Times New Roman"/>
                <w:b/>
                <w:bCs/>
                <w:color w:val="000000"/>
                <w:lang w:eastAsia="et-EE"/>
              </w:rPr>
            </w:pPr>
            <w:r w:rsidRPr="00A70450">
              <w:rPr>
                <w:rFonts w:ascii="Times New Roman" w:eastAsia="Times New Roman" w:hAnsi="Times New Roman" w:cs="Times New Roman"/>
                <w:b/>
                <w:bCs/>
                <w:color w:val="000000"/>
                <w:lang w:eastAsia="et-EE"/>
              </w:rPr>
              <w:t>MEEDE 1: Küla - ja kultuurimeede                                                                                                   Alameede 1.1. Külakogukondade arendamine</w:t>
            </w:r>
          </w:p>
        </w:tc>
      </w:tr>
      <w:tr w:rsidR="00A70450" w:rsidRPr="00A70450" w:rsidTr="0030239D">
        <w:trPr>
          <w:trHeight w:val="300"/>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A70450" w:rsidRPr="001E33A0" w:rsidRDefault="00A70450" w:rsidP="00A70450">
            <w:pPr>
              <w:spacing w:after="0" w:line="240" w:lineRule="auto"/>
              <w:rPr>
                <w:rFonts w:ascii="Times New Roman" w:eastAsia="Times New Roman" w:hAnsi="Times New Roman" w:cs="Times New Roman"/>
                <w:b/>
                <w:color w:val="000000"/>
                <w:lang w:eastAsia="et-EE"/>
              </w:rPr>
            </w:pPr>
            <w:r w:rsidRPr="001E33A0">
              <w:rPr>
                <w:rFonts w:ascii="Times New Roman" w:eastAsia="Times New Roman" w:hAnsi="Times New Roman" w:cs="Times New Roman"/>
                <w:b/>
                <w:color w:val="000000"/>
                <w:lang w:eastAsia="et-EE"/>
              </w:rPr>
              <w:t>Strateegia meetme rakendamise vajaduse lühikirjeldus</w:t>
            </w:r>
          </w:p>
        </w:tc>
      </w:tr>
      <w:tr w:rsidR="00A70450" w:rsidRPr="00A70450" w:rsidTr="00A70450">
        <w:trPr>
          <w:trHeight w:val="6630"/>
        </w:trPr>
        <w:tc>
          <w:tcPr>
            <w:tcW w:w="9380" w:type="dxa"/>
            <w:tcBorders>
              <w:top w:val="single" w:sz="4" w:space="0" w:color="auto"/>
              <w:left w:val="single" w:sz="4" w:space="0" w:color="auto"/>
              <w:bottom w:val="nil"/>
              <w:right w:val="single" w:sz="4" w:space="0" w:color="000000"/>
            </w:tcBorders>
            <w:shd w:val="clear" w:color="auto" w:fill="auto"/>
            <w:hideMark/>
          </w:tcPr>
          <w:p w:rsid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VPK tegevuspiirkond ise on hõredalt asustatud, vaid 9,7 elanikku </w:t>
            </w:r>
            <w:proofErr w:type="spellStart"/>
            <w:r w:rsidRPr="00A70450">
              <w:rPr>
                <w:rFonts w:ascii="Times New Roman" w:eastAsia="Times New Roman" w:hAnsi="Times New Roman" w:cs="Times New Roman"/>
                <w:color w:val="000000"/>
                <w:lang w:eastAsia="et-EE"/>
              </w:rPr>
              <w:t>km²</w:t>
            </w:r>
            <w:proofErr w:type="spellEnd"/>
            <w:r w:rsidRPr="00A70450">
              <w:rPr>
                <w:rFonts w:ascii="Times New Roman" w:eastAsia="Times New Roman" w:hAnsi="Times New Roman" w:cs="Times New Roman"/>
                <w:color w:val="000000"/>
                <w:lang w:eastAsia="et-EE"/>
              </w:rPr>
              <w:t xml:space="preserve"> kohta, rahvaarvuks on 19 184</w:t>
            </w:r>
            <w:r w:rsidRPr="00A70450">
              <w:rPr>
                <w:rFonts w:ascii="Times New Roman" w:eastAsia="Times New Roman" w:hAnsi="Times New Roman" w:cs="Times New Roman"/>
                <w:color w:val="000000"/>
                <w:lang w:eastAsia="et-EE"/>
              </w:rPr>
              <w:br/>
              <w:t>inimest ning see väheneb igal aastal 1-1,5%-i. Samuti vähenev noorte arv tegevuspiirkonnas võrreldes muude elanike gruppidega on suurem. Rahvastiku vähenemine ning sh noorte vähenev arv viitavad ka ohule, et ka noori peresid ei tule juurde. Seetõttu on tegevusgrupi jaoks oluline panustada elukeskkonna kvaliteedi säilitamisse ning parandamisse läbi kogukonnaliikmete endi aktiivsust toetades. Vaja on toetada just kogukondade aktiivsuse tõusu, sest ka lisaks piirkonna hajaasustuse tõttu on vähenemas kvaliteetsete kogukondlike teenuste kättesaadavus. Vaja on toetada neid kogukonnaliikmeid, kes soovivad panustada elukeskkonna kvaliteedi hoidmisesse ning parandamisse endi kodukohas. Selleks näeb VPK oma strateegiaga ette kvaliteetsete (kogukonna) teenuste pakkumise ning kaasaegsete ja energiatõhusate avalike hoonete renoveerimise toetamist.</w:t>
            </w:r>
            <w:r w:rsidRPr="00A70450">
              <w:rPr>
                <w:rFonts w:ascii="Times New Roman" w:eastAsia="Times New Roman" w:hAnsi="Times New Roman" w:cs="Times New Roman"/>
                <w:color w:val="000000"/>
                <w:lang w:eastAsia="et-EE"/>
              </w:rPr>
              <w:br/>
            </w:r>
            <w:r w:rsidRPr="00A70450">
              <w:rPr>
                <w:rFonts w:ascii="Times New Roman" w:eastAsia="Times New Roman" w:hAnsi="Times New Roman" w:cs="Times New Roman"/>
                <w:color w:val="000000"/>
                <w:lang w:eastAsia="et-EE"/>
              </w:rPr>
              <w:br/>
              <w:t>Võrumaa Partnerluskogu viis 2014.a läbi kogukonnateenuste uuringu oma tegevuspiirkonnas selgitamaks piirkonna vajadusi ja soove kogukonnateenuste arendamise osas. Uuring andis kinnitust, et kogukonnateenuse arendamine ja võimaldamine tegevuspiirkonnas on vajalik. Maapiirkondades esineb tihti turutõrke olukord, kus vähenenud elanikkonna tingimustes teenuse nõudlus väheneb ja hind tõuseb, mille tagajärjel pole erasektor huvitatud teenuste pakkumisest. Ka avalikul sektoril on sellises olukorras raske teenuse elujõulisust säilitada. Eelnimetatud probleemide üheks lahenduseks maapiirkonnas on teenuste kogukondlik korraldamine vabatahtlikkuse korras, mis oleks organiseeritud läbi MTÜ-de. MTÜ-de motiiv on pakkuda teenust, kui avalik sektor ei taga kvaliteetset teenust, kui teenus üldse puudub või kogukond on huvitatud soodsama hinnaga teenusest</w:t>
            </w:r>
            <w:r w:rsidRPr="00A70450">
              <w:rPr>
                <w:rFonts w:ascii="Times New Roman" w:eastAsia="Times New Roman" w:hAnsi="Times New Roman" w:cs="Times New Roman"/>
                <w:color w:val="000000"/>
                <w:lang w:eastAsia="et-EE"/>
              </w:rPr>
              <w:br/>
            </w:r>
            <w:r w:rsidRPr="00A70450">
              <w:rPr>
                <w:rFonts w:ascii="Times New Roman" w:eastAsia="Times New Roman" w:hAnsi="Times New Roman" w:cs="Times New Roman"/>
                <w:color w:val="000000"/>
                <w:lang w:eastAsia="et-EE"/>
              </w:rPr>
              <w:br/>
              <w:t>Arenguvajadused, mis antud meetme rakendamise vajadust toetavad, on järgmised:</w:t>
            </w:r>
            <w:r w:rsidRPr="00A70450">
              <w:rPr>
                <w:rFonts w:ascii="Times New Roman" w:eastAsia="Times New Roman" w:hAnsi="Times New Roman" w:cs="Times New Roman"/>
                <w:color w:val="000000"/>
                <w:lang w:eastAsia="et-EE"/>
              </w:rPr>
              <w:br/>
              <w:t>• Aidata kaasa kogukondade aktiivsusele läbi kogemuste vahetamise ja ühistegevuse</w:t>
            </w:r>
            <w:r w:rsidRPr="00A70450">
              <w:rPr>
                <w:rFonts w:ascii="Times New Roman" w:eastAsia="Times New Roman" w:hAnsi="Times New Roman" w:cs="Times New Roman"/>
                <w:color w:val="000000"/>
                <w:lang w:eastAsia="et-EE"/>
              </w:rPr>
              <w:br/>
              <w:t>• Vajalik on toetada teadlikkuse suurendamist kogukonnateenuste pakkumiseks (koolitused,</w:t>
            </w:r>
            <w:r w:rsidRPr="00A70450">
              <w:rPr>
                <w:rFonts w:ascii="Times New Roman" w:eastAsia="Times New Roman" w:hAnsi="Times New Roman" w:cs="Times New Roman"/>
                <w:color w:val="000000"/>
                <w:lang w:eastAsia="et-EE"/>
              </w:rPr>
              <w:br/>
              <w:t>õppereisid, ümarlauad, kogemuste vahetused)</w:t>
            </w:r>
            <w:r w:rsidRPr="00A70450">
              <w:rPr>
                <w:rFonts w:ascii="Times New Roman" w:eastAsia="Times New Roman" w:hAnsi="Times New Roman" w:cs="Times New Roman"/>
                <w:color w:val="000000"/>
                <w:lang w:eastAsia="et-EE"/>
              </w:rPr>
              <w:br/>
              <w:t>• Võimaldada kogukonnateenuste pakkumiseks vajalike vahendite soetamist</w:t>
            </w:r>
            <w:r w:rsidRPr="00A70450">
              <w:rPr>
                <w:rFonts w:ascii="Times New Roman" w:eastAsia="Times New Roman" w:hAnsi="Times New Roman" w:cs="Times New Roman"/>
                <w:color w:val="000000"/>
                <w:lang w:eastAsia="et-EE"/>
              </w:rPr>
              <w:br/>
              <w:t>• Parandada infotehnoloogiliste vahendite kättesaadavust ja kvaliteeti</w:t>
            </w:r>
            <w:r w:rsidRPr="00A70450">
              <w:rPr>
                <w:rFonts w:ascii="Times New Roman" w:eastAsia="Times New Roman" w:hAnsi="Times New Roman" w:cs="Times New Roman"/>
                <w:color w:val="000000"/>
                <w:lang w:eastAsia="et-EE"/>
              </w:rPr>
              <w:br/>
              <w:t>• Vajalik on muuta külakogukondade hooned energiasäästlikumaks, et suurendada keskuste</w:t>
            </w:r>
            <w:r w:rsidRPr="00A70450">
              <w:rPr>
                <w:rFonts w:ascii="Times New Roman" w:eastAsia="Times New Roman" w:hAnsi="Times New Roman" w:cs="Times New Roman"/>
                <w:color w:val="000000"/>
                <w:lang w:eastAsia="et-EE"/>
              </w:rPr>
              <w:br/>
              <w:t>jätkusuutlikkust ja sõltumatust omavalitsuste rahastamisest</w:t>
            </w:r>
            <w:r w:rsidRPr="00A70450">
              <w:rPr>
                <w:rFonts w:ascii="Times New Roman" w:eastAsia="Times New Roman" w:hAnsi="Times New Roman" w:cs="Times New Roman"/>
                <w:color w:val="000000"/>
                <w:lang w:eastAsia="et-EE"/>
              </w:rPr>
              <w:br/>
              <w:t>• Võimaldada noorte arvamuste väärtustamist ning võimalust kogukonnaellu panustada –</w:t>
            </w:r>
            <w:r w:rsidRPr="00A70450">
              <w:rPr>
                <w:rFonts w:ascii="Times New Roman" w:eastAsia="Times New Roman" w:hAnsi="Times New Roman" w:cs="Times New Roman"/>
                <w:color w:val="000000"/>
                <w:lang w:eastAsia="et-EE"/>
              </w:rPr>
              <w:br/>
              <w:t>otsustusvabadus kasvatab vastutust</w:t>
            </w:r>
          </w:p>
          <w:p w:rsidR="00A70450" w:rsidRPr="00A70450" w:rsidRDefault="00A70450" w:rsidP="00A70450">
            <w:pPr>
              <w:spacing w:after="0" w:line="240" w:lineRule="auto"/>
              <w:rPr>
                <w:rFonts w:ascii="Times New Roman" w:eastAsia="Times New Roman" w:hAnsi="Times New Roman" w:cs="Times New Roman"/>
                <w:color w:val="000000"/>
                <w:lang w:eastAsia="et-EE"/>
              </w:rPr>
            </w:pPr>
          </w:p>
        </w:tc>
      </w:tr>
      <w:tr w:rsidR="00A70450" w:rsidRPr="00A70450" w:rsidTr="0030239D">
        <w:trPr>
          <w:trHeight w:val="300"/>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A70450" w:rsidRPr="001E33A0" w:rsidRDefault="00A70450" w:rsidP="00A70450">
            <w:pPr>
              <w:spacing w:after="0" w:line="240" w:lineRule="auto"/>
              <w:rPr>
                <w:rFonts w:ascii="Times New Roman" w:eastAsia="Times New Roman" w:hAnsi="Times New Roman" w:cs="Times New Roman"/>
                <w:b/>
                <w:color w:val="000000"/>
                <w:lang w:eastAsia="et-EE"/>
              </w:rPr>
            </w:pPr>
            <w:r w:rsidRPr="001E33A0">
              <w:rPr>
                <w:rFonts w:ascii="Times New Roman" w:eastAsia="Times New Roman" w:hAnsi="Times New Roman" w:cs="Times New Roman"/>
                <w:b/>
                <w:color w:val="000000"/>
                <w:lang w:eastAsia="et-EE"/>
              </w:rPr>
              <w:t xml:space="preserve">Strateegia meetme eesmärk  </w:t>
            </w:r>
          </w:p>
        </w:tc>
      </w:tr>
      <w:tr w:rsidR="00A70450" w:rsidRPr="00A70450" w:rsidTr="00A70450">
        <w:trPr>
          <w:trHeight w:val="636"/>
        </w:trPr>
        <w:tc>
          <w:tcPr>
            <w:tcW w:w="9380" w:type="dxa"/>
            <w:tcBorders>
              <w:top w:val="single" w:sz="4" w:space="0" w:color="auto"/>
              <w:left w:val="single" w:sz="4" w:space="0" w:color="auto"/>
              <w:bottom w:val="nil"/>
              <w:right w:val="single" w:sz="4" w:space="0" w:color="000000"/>
            </w:tcBorders>
            <w:shd w:val="clear" w:color="auto" w:fill="auto"/>
            <w:hideMark/>
          </w:tcPr>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1. Olemas on oskused ja teadmised ning tehniline võimekus kogukonnateenuse pakkumiseks </w:t>
            </w:r>
            <w:r w:rsidRPr="00A70450">
              <w:rPr>
                <w:rFonts w:ascii="Times New Roman" w:eastAsia="Times New Roman" w:hAnsi="Times New Roman" w:cs="Times New Roman"/>
                <w:color w:val="000000"/>
                <w:lang w:eastAsia="et-EE"/>
              </w:rPr>
              <w:br/>
              <w:t>2. Külakogukondade avalikuks kasutuseks mõeldud hooned on renoveeritud energia- ja tervisesäästlikult</w:t>
            </w:r>
          </w:p>
        </w:tc>
      </w:tr>
      <w:tr w:rsidR="001E33A0" w:rsidRPr="00A70450" w:rsidTr="0030239D">
        <w:trPr>
          <w:trHeight w:val="258"/>
        </w:trPr>
        <w:tc>
          <w:tcPr>
            <w:tcW w:w="9380" w:type="dxa"/>
            <w:tcBorders>
              <w:top w:val="single" w:sz="4" w:space="0" w:color="auto"/>
              <w:left w:val="single" w:sz="4" w:space="0" w:color="auto"/>
              <w:bottom w:val="nil"/>
              <w:right w:val="single" w:sz="4" w:space="0" w:color="000000"/>
            </w:tcBorders>
            <w:shd w:val="clear" w:color="auto" w:fill="76923C" w:themeFill="accent3" w:themeFillShade="BF"/>
          </w:tcPr>
          <w:p w:rsidR="001E33A0" w:rsidRPr="001E33A0" w:rsidRDefault="00C11BD0" w:rsidP="00A70450">
            <w:pPr>
              <w:spacing w:after="0" w:line="240" w:lineRule="auto"/>
              <w:rPr>
                <w:rFonts w:ascii="Times New Roman" w:eastAsia="Times New Roman" w:hAnsi="Times New Roman" w:cs="Times New Roman"/>
                <w:b/>
                <w:color w:val="000000"/>
                <w:lang w:eastAsia="et-EE"/>
              </w:rPr>
            </w:pPr>
            <w:r w:rsidRPr="00C11BD0">
              <w:rPr>
                <w:rFonts w:ascii="Times New Roman" w:eastAsia="Times New Roman" w:hAnsi="Times New Roman" w:cs="Times New Roman"/>
                <w:b/>
                <w:color w:val="000000"/>
                <w:lang w:eastAsia="et-EE"/>
              </w:rPr>
              <w:t>Meetme tegevused tuginevad Euroopa Parlamendi ja Nõukogu määruse (EL) nr 1305/2013 artiklitele</w:t>
            </w:r>
          </w:p>
        </w:tc>
      </w:tr>
      <w:tr w:rsidR="001E33A0" w:rsidRPr="00A70450" w:rsidTr="001E33A0">
        <w:trPr>
          <w:trHeight w:val="338"/>
        </w:trPr>
        <w:tc>
          <w:tcPr>
            <w:tcW w:w="9380" w:type="dxa"/>
            <w:tcBorders>
              <w:top w:val="single" w:sz="4" w:space="0" w:color="auto"/>
              <w:left w:val="single" w:sz="4" w:space="0" w:color="auto"/>
              <w:bottom w:val="nil"/>
              <w:right w:val="single" w:sz="4" w:space="0" w:color="000000"/>
            </w:tcBorders>
            <w:shd w:val="clear" w:color="auto" w:fill="auto"/>
          </w:tcPr>
          <w:p w:rsidR="001E33A0" w:rsidRPr="00A70450" w:rsidRDefault="00C11BD0" w:rsidP="00A70450">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 xml:space="preserve">Artikkel </w:t>
            </w:r>
            <w:r w:rsidR="001E33A0">
              <w:rPr>
                <w:rFonts w:ascii="Times New Roman" w:eastAsia="Times New Roman" w:hAnsi="Times New Roman" w:cs="Times New Roman"/>
                <w:color w:val="000000"/>
                <w:lang w:eastAsia="et-EE"/>
              </w:rPr>
              <w:t>20</w:t>
            </w:r>
          </w:p>
        </w:tc>
      </w:tr>
      <w:tr w:rsidR="00A70450" w:rsidRPr="00A70450" w:rsidTr="0030239D">
        <w:trPr>
          <w:trHeight w:val="300"/>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A70450" w:rsidRPr="001E33A0" w:rsidRDefault="00A70450" w:rsidP="00A70450">
            <w:pPr>
              <w:spacing w:after="0" w:line="240" w:lineRule="auto"/>
              <w:rPr>
                <w:rFonts w:ascii="Times New Roman" w:eastAsia="Times New Roman" w:hAnsi="Times New Roman" w:cs="Times New Roman"/>
                <w:b/>
                <w:color w:val="000000"/>
                <w:lang w:eastAsia="et-EE"/>
              </w:rPr>
            </w:pPr>
            <w:r w:rsidRPr="001E33A0">
              <w:rPr>
                <w:rFonts w:ascii="Times New Roman" w:eastAsia="Times New Roman" w:hAnsi="Times New Roman" w:cs="Times New Roman"/>
                <w:b/>
                <w:color w:val="000000"/>
                <w:lang w:eastAsia="et-EE"/>
              </w:rPr>
              <w:t xml:space="preserve">Toetatavad tegevused ² </w:t>
            </w:r>
          </w:p>
        </w:tc>
      </w:tr>
      <w:tr w:rsidR="00A70450" w:rsidRPr="00A70450" w:rsidTr="001E33A0">
        <w:trPr>
          <w:trHeight w:val="2400"/>
        </w:trPr>
        <w:tc>
          <w:tcPr>
            <w:tcW w:w="9380" w:type="dxa"/>
            <w:tcBorders>
              <w:top w:val="single" w:sz="4" w:space="0" w:color="auto"/>
              <w:left w:val="single" w:sz="4" w:space="0" w:color="auto"/>
              <w:bottom w:val="nil"/>
              <w:right w:val="single" w:sz="4" w:space="0" w:color="000000"/>
            </w:tcBorders>
            <w:shd w:val="clear" w:color="auto" w:fill="auto"/>
            <w:hideMark/>
          </w:tcPr>
          <w:p w:rsidR="00A70450" w:rsidRPr="00A70450" w:rsidRDefault="00A70450" w:rsidP="00A70450">
            <w:pPr>
              <w:pStyle w:val="Loendilik"/>
              <w:numPr>
                <w:ilvl w:val="0"/>
                <w:numId w:val="1"/>
              </w:num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lastRenderedPageBreak/>
              <w:t xml:space="preserve">Kogukonnateenuste pakkumiseks vajalike väikeinfrastruktuuri investeeringud  </w:t>
            </w:r>
          </w:p>
          <w:p w:rsidR="00A70450" w:rsidRPr="00A70450" w:rsidRDefault="00A70450" w:rsidP="00A70450">
            <w:pPr>
              <w:pStyle w:val="Loendilik"/>
              <w:numPr>
                <w:ilvl w:val="0"/>
                <w:numId w:val="1"/>
              </w:num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Ehituslik projekteerimine, muinsuskaitse eritingimuste koostamine, keskkonnamõjude hindamine, ehitusjärelvalve (koos ehitusega) jms.</w:t>
            </w:r>
          </w:p>
          <w:p w:rsidR="00A70450" w:rsidRPr="00A70450" w:rsidRDefault="00A70450" w:rsidP="00A70450">
            <w:pPr>
              <w:pStyle w:val="Loendilik"/>
              <w:numPr>
                <w:ilvl w:val="0"/>
                <w:numId w:val="1"/>
              </w:num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Avalikuks kasutuseks mõeldud hoonete ja rajatiste energia- ja tervisesäästlik rekonstrueerimine, remontimine, parendamine, rajamine, ehitamine</w:t>
            </w:r>
          </w:p>
          <w:p w:rsidR="00A70450" w:rsidRPr="00A70450" w:rsidRDefault="00A70450" w:rsidP="00A70450">
            <w:pPr>
              <w:pStyle w:val="Loendilik"/>
              <w:numPr>
                <w:ilvl w:val="0"/>
                <w:numId w:val="1"/>
              </w:num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Avalike teenuste (k.a. vaba aja tegevused ja kultuur) ja funktsioonide täitmiseks vajalikud investeeringud </w:t>
            </w:r>
          </w:p>
          <w:p w:rsidR="00A70450" w:rsidRPr="00852916" w:rsidRDefault="00A70450" w:rsidP="00A70450">
            <w:pPr>
              <w:pStyle w:val="Loendilik"/>
              <w:numPr>
                <w:ilvl w:val="0"/>
                <w:numId w:val="1"/>
              </w:num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Uuringud, mis on seotud külade ja maapiirkondade kultuuripärandi säilitamise, taastamise ja selle kvaliteedi parandamisega (taotleda saab ka üksiktaotleja)</w:t>
            </w:r>
          </w:p>
        </w:tc>
      </w:tr>
      <w:tr w:rsidR="00A70450" w:rsidRPr="00A70450" w:rsidTr="0030239D">
        <w:trPr>
          <w:trHeight w:val="280"/>
        </w:trPr>
        <w:tc>
          <w:tcPr>
            <w:tcW w:w="9380" w:type="dxa"/>
            <w:tcBorders>
              <w:top w:val="single" w:sz="4" w:space="0" w:color="auto"/>
              <w:left w:val="single" w:sz="4" w:space="0" w:color="auto"/>
              <w:bottom w:val="nil"/>
              <w:right w:val="single" w:sz="4" w:space="0" w:color="000000"/>
            </w:tcBorders>
            <w:shd w:val="clear" w:color="auto" w:fill="76923C" w:themeFill="accent3" w:themeFillShade="BF"/>
          </w:tcPr>
          <w:p w:rsidR="00A70450" w:rsidRPr="00A70450" w:rsidRDefault="00A70450" w:rsidP="00A70450">
            <w:pPr>
              <w:spacing w:after="0" w:line="240" w:lineRule="auto"/>
              <w:rPr>
                <w:rFonts w:ascii="Times New Roman" w:eastAsia="Times New Roman" w:hAnsi="Times New Roman" w:cs="Times New Roman"/>
                <w:b/>
                <w:color w:val="000000"/>
                <w:lang w:eastAsia="et-EE"/>
              </w:rPr>
            </w:pPr>
            <w:r w:rsidRPr="00A70450">
              <w:rPr>
                <w:rFonts w:ascii="Times New Roman" w:eastAsia="Times New Roman" w:hAnsi="Times New Roman" w:cs="Times New Roman"/>
                <w:b/>
                <w:color w:val="000000"/>
                <w:lang w:eastAsia="et-EE"/>
              </w:rPr>
              <w:t>Meetme sihtgrupp</w:t>
            </w:r>
          </w:p>
        </w:tc>
      </w:tr>
      <w:tr w:rsidR="00A70450" w:rsidRPr="00A70450" w:rsidTr="001E33A0">
        <w:trPr>
          <w:trHeight w:val="271"/>
        </w:trPr>
        <w:tc>
          <w:tcPr>
            <w:tcW w:w="9380" w:type="dxa"/>
            <w:tcBorders>
              <w:top w:val="single" w:sz="4" w:space="0" w:color="auto"/>
              <w:left w:val="single" w:sz="4" w:space="0" w:color="auto"/>
              <w:bottom w:val="nil"/>
              <w:right w:val="single" w:sz="4" w:space="0" w:color="000000"/>
            </w:tcBorders>
            <w:shd w:val="clear" w:color="auto" w:fill="auto"/>
          </w:tcPr>
          <w:p w:rsidR="00A70450" w:rsidRPr="00A70450" w:rsidRDefault="00B92FD1" w:rsidP="00A70450">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M</w:t>
            </w:r>
            <w:r w:rsidR="00A70450">
              <w:rPr>
                <w:rFonts w:ascii="Times New Roman" w:eastAsia="Times New Roman" w:hAnsi="Times New Roman" w:cs="Times New Roman"/>
                <w:color w:val="000000"/>
                <w:lang w:eastAsia="et-EE"/>
              </w:rPr>
              <w:t>ittetulundusühing, sihtasutus, kohalik omavalitsusüksus, ettevõtja</w:t>
            </w:r>
          </w:p>
        </w:tc>
      </w:tr>
      <w:tr w:rsidR="00A70450" w:rsidRPr="00A70450" w:rsidTr="0030239D">
        <w:trPr>
          <w:trHeight w:val="275"/>
        </w:trPr>
        <w:tc>
          <w:tcPr>
            <w:tcW w:w="9380" w:type="dxa"/>
            <w:tcBorders>
              <w:top w:val="single" w:sz="4" w:space="0" w:color="auto"/>
              <w:left w:val="single" w:sz="4" w:space="0" w:color="auto"/>
              <w:bottom w:val="nil"/>
              <w:right w:val="single" w:sz="4" w:space="0" w:color="000000"/>
            </w:tcBorders>
            <w:shd w:val="clear" w:color="auto" w:fill="76923C" w:themeFill="accent3" w:themeFillShade="BF"/>
          </w:tcPr>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b/>
                <w:color w:val="000000"/>
                <w:lang w:eastAsia="et-EE"/>
              </w:rPr>
              <w:t>Abikõlblikud kulud</w:t>
            </w:r>
          </w:p>
        </w:tc>
      </w:tr>
      <w:tr w:rsidR="00A70450" w:rsidRPr="00A70450" w:rsidTr="00A70450">
        <w:trPr>
          <w:trHeight w:val="428"/>
        </w:trPr>
        <w:tc>
          <w:tcPr>
            <w:tcW w:w="9380" w:type="dxa"/>
            <w:tcBorders>
              <w:top w:val="single" w:sz="4" w:space="0" w:color="auto"/>
              <w:left w:val="single" w:sz="4" w:space="0" w:color="auto"/>
              <w:bottom w:val="nil"/>
              <w:right w:val="single" w:sz="4" w:space="0" w:color="000000"/>
            </w:tcBorders>
            <w:shd w:val="clear" w:color="auto" w:fill="auto"/>
          </w:tcPr>
          <w:p w:rsidR="00A70450" w:rsidRPr="009C2517" w:rsidRDefault="00A70450" w:rsidP="00A70450">
            <w:p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Vastavalt maaelu ministri määruse 23.10.2015 nr 11 „Kohaliku tegevusgrupi toetus ja LEADER projektitoetus“ §30</w:t>
            </w:r>
            <w:r w:rsidR="005638C2" w:rsidRPr="009C2517">
              <w:rPr>
                <w:rFonts w:ascii="Times New Roman" w:eastAsia="Times New Roman" w:hAnsi="Times New Roman" w:cs="Times New Roman"/>
                <w:lang w:eastAsia="et-EE"/>
              </w:rPr>
              <w:t xml:space="preserve"> alusel:</w:t>
            </w:r>
          </w:p>
          <w:p w:rsidR="00A70450" w:rsidRPr="009C2517" w:rsidRDefault="00E4665F" w:rsidP="00E4665F">
            <w:p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 xml:space="preserve">(1) </w:t>
            </w:r>
            <w:r w:rsidR="00A70450" w:rsidRPr="009C2517">
              <w:rPr>
                <w:rFonts w:ascii="Times New Roman" w:eastAsia="Times New Roman" w:hAnsi="Times New Roman" w:cs="Times New Roman"/>
                <w:lang w:eastAsia="et-EE"/>
              </w:rPr>
              <w:t xml:space="preserve">Toetatava tegevuse või investeeringu abikõlbliku kulu moodustavad tegevuse elluviimiseks või </w:t>
            </w:r>
            <w:r w:rsidRPr="009C2517">
              <w:rPr>
                <w:rFonts w:ascii="Times New Roman" w:eastAsia="Times New Roman" w:hAnsi="Times New Roman" w:cs="Times New Roman"/>
                <w:lang w:eastAsia="et-EE"/>
              </w:rPr>
              <w:t xml:space="preserve">  </w:t>
            </w:r>
            <w:r w:rsidR="00A70450" w:rsidRPr="009C2517">
              <w:rPr>
                <w:rFonts w:ascii="Times New Roman" w:eastAsia="Times New Roman" w:hAnsi="Times New Roman" w:cs="Times New Roman"/>
                <w:lang w:eastAsia="et-EE"/>
              </w:rPr>
              <w:t>investeeringu tegemiseks vajalike kulude, sealhulgas omanikujärelevalve, muinsuskaitselise järelevalve tegemise maksumus kokku kuni 3 % investeeringuobjekti ehitustööde maksumusest ja kavandatava ehitise projekteerimistööde maksumus kuni 10% investeeringuobjekti ehitustööde maksumusest ning abikõlbliku tegevuse või investeeringu tähistamise</w:t>
            </w:r>
            <w:r w:rsidR="00F37A6F" w:rsidRPr="009C2517">
              <w:rPr>
                <w:rFonts w:ascii="Times New Roman" w:eastAsia="Times New Roman" w:hAnsi="Times New Roman" w:cs="Times New Roman"/>
                <w:lang w:eastAsia="et-EE"/>
              </w:rPr>
              <w:t>ks vajalike sümbolite maksumus;</w:t>
            </w:r>
          </w:p>
          <w:p w:rsidR="00E4665F" w:rsidRPr="009C2517" w:rsidRDefault="00E4665F" w:rsidP="00E4665F">
            <w:pPr>
              <w:spacing w:after="0" w:line="240" w:lineRule="auto"/>
              <w:rPr>
                <w:rFonts w:ascii="Times New Roman" w:eastAsia="Times New Roman" w:hAnsi="Times New Roman" w:cs="Times New Roman"/>
                <w:lang w:eastAsia="et-EE"/>
              </w:rPr>
            </w:pPr>
          </w:p>
          <w:p w:rsidR="00E4665F" w:rsidRPr="009C2517" w:rsidRDefault="00E4665F" w:rsidP="00E4665F">
            <w:p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(2) Projektitoetuse abikõlblikud kulud on:</w:t>
            </w:r>
          </w:p>
          <w:p w:rsidR="00E4665F" w:rsidRPr="009C2517" w:rsidRDefault="00A70450" w:rsidP="00E4665F">
            <w:pPr>
              <w:pStyle w:val="Loendilik"/>
              <w:numPr>
                <w:ilvl w:val="0"/>
                <w:numId w:val="3"/>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Ehituse ehitamise ja parandamise kulud</w:t>
            </w:r>
            <w:r w:rsidR="00F37A6F" w:rsidRPr="009C2517">
              <w:rPr>
                <w:rFonts w:ascii="Times New Roman" w:eastAsia="Times New Roman" w:hAnsi="Times New Roman" w:cs="Times New Roman"/>
                <w:lang w:eastAsia="et-EE"/>
              </w:rPr>
              <w:t>;</w:t>
            </w:r>
          </w:p>
          <w:p w:rsidR="00A70450" w:rsidRPr="009C2517" w:rsidRDefault="00A70450" w:rsidP="00E4665F">
            <w:pPr>
              <w:pStyle w:val="Loendilik"/>
              <w:numPr>
                <w:ilvl w:val="0"/>
                <w:numId w:val="3"/>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 xml:space="preserve">Veevarustus- kanalisatsiooni- ja reoveepuhastussüsteemi, elektrisüsteemi ja elektripaigaldise, uue põlvkonna elektroonilise side juurdepääsuvõrgu ja sissepääsutee ehitamise kulud ning nende juurde kuuluvate seadmete ostmise, paigaldamise ja </w:t>
            </w:r>
            <w:r w:rsidR="00F37A6F" w:rsidRPr="009C2517">
              <w:rPr>
                <w:rFonts w:ascii="Times New Roman" w:eastAsia="Times New Roman" w:hAnsi="Times New Roman" w:cs="Times New Roman"/>
                <w:lang w:eastAsia="et-EE"/>
              </w:rPr>
              <w:t>vastava võrguga liitumise kulud;</w:t>
            </w:r>
          </w:p>
          <w:p w:rsidR="00A70450" w:rsidRPr="009C2517" w:rsidRDefault="00A70450" w:rsidP="00E4665F">
            <w:pPr>
              <w:pStyle w:val="Loendilik"/>
              <w:numPr>
                <w:ilvl w:val="0"/>
                <w:numId w:val="3"/>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 xml:space="preserve">Masina, seadme sisseseadme või muu põhivara ostmise, liisimise ja paigaldamise kulud; </w:t>
            </w:r>
          </w:p>
          <w:p w:rsidR="00A70450" w:rsidRPr="009C2517" w:rsidRDefault="00A70450" w:rsidP="00E4665F">
            <w:pPr>
              <w:pStyle w:val="Loendilik"/>
              <w:numPr>
                <w:ilvl w:val="0"/>
                <w:numId w:val="3"/>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Maastikusõiduki või mootorsõiduki ostmise ja liisimise kulud, kui selle otstarve on teenuse osutamine tegevuspiirkonnas, ning kui toetust taotleb ettevõtja, MTÜ või SA;</w:t>
            </w:r>
          </w:p>
          <w:p w:rsidR="00A70450" w:rsidRPr="009C2517" w:rsidRDefault="00A70450" w:rsidP="00E4665F">
            <w:pPr>
              <w:pStyle w:val="Loendilik"/>
              <w:numPr>
                <w:ilvl w:val="0"/>
                <w:numId w:val="3"/>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 xml:space="preserve">Infotehnoloogilise lahenduse tarkara ostmise ja paigaldamise kulud; </w:t>
            </w:r>
          </w:p>
          <w:p w:rsidR="00A70450" w:rsidRPr="009C2517" w:rsidRDefault="00A70450" w:rsidP="00E4665F">
            <w:pPr>
              <w:pStyle w:val="Loendilik"/>
              <w:numPr>
                <w:ilvl w:val="0"/>
                <w:numId w:val="3"/>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Teosta</w:t>
            </w:r>
            <w:r w:rsidR="00CF1DB7" w:rsidRPr="009C2517">
              <w:rPr>
                <w:rFonts w:ascii="Times New Roman" w:eastAsia="Times New Roman" w:hAnsi="Times New Roman" w:cs="Times New Roman"/>
                <w:lang w:eastAsia="et-EE"/>
              </w:rPr>
              <w:t>ta</w:t>
            </w:r>
            <w:r w:rsidRPr="009C2517">
              <w:rPr>
                <w:rFonts w:ascii="Times New Roman" w:eastAsia="Times New Roman" w:hAnsi="Times New Roman" w:cs="Times New Roman"/>
                <w:lang w:eastAsia="et-EE"/>
              </w:rPr>
              <w:t xml:space="preserve">vusuuringu koostamise kulud; </w:t>
            </w:r>
          </w:p>
          <w:p w:rsidR="00E4665F" w:rsidRPr="009C2517" w:rsidRDefault="00E4665F" w:rsidP="00E4665F">
            <w:pPr>
              <w:pStyle w:val="Loendilik"/>
              <w:numPr>
                <w:ilvl w:val="0"/>
                <w:numId w:val="3"/>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Sellise töö, teenuse ja kauba ostmise kulud, mis ei ole punktides 1-6 nimetatud tegevuse osa</w:t>
            </w:r>
          </w:p>
          <w:p w:rsidR="00A70450" w:rsidRPr="009C2517" w:rsidRDefault="00E4665F" w:rsidP="00E4665F">
            <w:p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(3) Lõike 2 punktide  1 ja 2</w:t>
            </w:r>
            <w:r w:rsidR="00A70450" w:rsidRPr="009C2517">
              <w:rPr>
                <w:rFonts w:ascii="Times New Roman" w:eastAsia="Times New Roman" w:hAnsi="Times New Roman" w:cs="Times New Roman"/>
                <w:lang w:eastAsia="et-EE"/>
              </w:rPr>
              <w:t xml:space="preserve"> nimetatud tegevuste osaks või</w:t>
            </w:r>
            <w:r w:rsidRPr="009C2517">
              <w:rPr>
                <w:rFonts w:ascii="Times New Roman" w:eastAsia="Times New Roman" w:hAnsi="Times New Roman" w:cs="Times New Roman"/>
                <w:lang w:eastAsia="et-EE"/>
              </w:rPr>
              <w:t>v</w:t>
            </w:r>
            <w:r w:rsidR="00A70450" w:rsidRPr="009C2517">
              <w:rPr>
                <w:rFonts w:ascii="Times New Roman" w:eastAsia="Times New Roman" w:hAnsi="Times New Roman" w:cs="Times New Roman"/>
                <w:lang w:eastAsia="et-EE"/>
              </w:rPr>
              <w:t xml:space="preserve">ad olla kavandatava ehitise projekteerimistööd, sealhulgas muinsuskaitseseaduse alusel kehtestatud korras muinsuskaitse eritingimuste koostamise kulud, kavandatavale ehitustööle ehitustöödele ehitusseadustiku alusel kehtestatud korras omanikujärelevalve tegemise kulud ja muinsuskaitseseaduse alusel kehtestatud korras järelevalve tegemise kulud; </w:t>
            </w:r>
          </w:p>
          <w:p w:rsidR="00A70450" w:rsidRPr="009C2517" w:rsidRDefault="005B25C5" w:rsidP="005B25C5">
            <w:p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 xml:space="preserve">(4) </w:t>
            </w:r>
            <w:r w:rsidR="00A70450" w:rsidRPr="009C2517">
              <w:rPr>
                <w:rFonts w:ascii="Times New Roman" w:eastAsia="Times New Roman" w:hAnsi="Times New Roman" w:cs="Times New Roman"/>
                <w:lang w:eastAsia="et-EE"/>
              </w:rPr>
              <w:t>Kasutatud masina või seadme ostmise ja liisimise kulud  on abikõlblikud, kui projektitoetust taotlev ettevõtja, MTÜ või SA  tõendab, et:</w:t>
            </w:r>
          </w:p>
          <w:p w:rsidR="00A70450" w:rsidRPr="009C2517" w:rsidRDefault="00A70450" w:rsidP="00F37A6F">
            <w:pPr>
              <w:pStyle w:val="Loendilik"/>
              <w:numPr>
                <w:ilvl w:val="0"/>
                <w:numId w:val="4"/>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masina või seadme ostmiseks või liisimiseks ei ole hinnapakkuja varem saanud toetust riigieelarvelistest või muudest Euroopa Liidu või välisvahenditest või muud tagastamatut riigiabi või vähese tähtsusega abi;</w:t>
            </w:r>
          </w:p>
          <w:p w:rsidR="00A70450" w:rsidRPr="009C2517" w:rsidRDefault="00A70450" w:rsidP="00A70450">
            <w:pPr>
              <w:pStyle w:val="Loendilik"/>
              <w:numPr>
                <w:ilvl w:val="0"/>
                <w:numId w:val="4"/>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masina või seadme hind ei ületa selle turuväärtust ja on uue samaväärse masina või seadme hinnast madalam;</w:t>
            </w:r>
          </w:p>
          <w:p w:rsidR="00E76135" w:rsidRPr="009C2517" w:rsidRDefault="00A70450" w:rsidP="00E76135">
            <w:pPr>
              <w:pStyle w:val="Loendilik"/>
              <w:numPr>
                <w:ilvl w:val="0"/>
                <w:numId w:val="4"/>
              </w:numPr>
              <w:spacing w:after="0" w:line="240" w:lineRule="auto"/>
              <w:rPr>
                <w:rFonts w:ascii="Times New Roman" w:eastAsia="Times New Roman" w:hAnsi="Times New Roman" w:cs="Times New Roman"/>
                <w:lang w:eastAsia="et-EE"/>
              </w:rPr>
            </w:pPr>
            <w:r w:rsidRPr="009C2517">
              <w:rPr>
                <w:rFonts w:ascii="Times New Roman" w:eastAsia="Times New Roman" w:hAnsi="Times New Roman" w:cs="Times New Roman"/>
                <w:lang w:eastAsia="et-EE"/>
              </w:rPr>
              <w:t>masina või seadme eeldatav kasutusiga on vähemalt viis aastat arvates PRIA poolt vi</w:t>
            </w:r>
            <w:r w:rsidR="00F37A6F" w:rsidRPr="009C2517">
              <w:rPr>
                <w:rFonts w:ascii="Times New Roman" w:eastAsia="Times New Roman" w:hAnsi="Times New Roman" w:cs="Times New Roman"/>
                <w:lang w:eastAsia="et-EE"/>
              </w:rPr>
              <w:t>imase toetusosa väljamaksmisest;</w:t>
            </w:r>
          </w:p>
          <w:p w:rsidR="00A70450" w:rsidRDefault="00A70450" w:rsidP="00F37A6F">
            <w:pPr>
              <w:spacing w:after="0" w:line="240" w:lineRule="auto"/>
              <w:rPr>
                <w:rFonts w:ascii="Times New Roman" w:eastAsia="Times New Roman" w:hAnsi="Times New Roman" w:cs="Times New Roman"/>
                <w:color w:val="000000"/>
                <w:lang w:eastAsia="et-EE"/>
              </w:rPr>
            </w:pPr>
            <w:r w:rsidRPr="009C2517">
              <w:rPr>
                <w:rFonts w:ascii="Times New Roman" w:eastAsia="Times New Roman" w:hAnsi="Times New Roman" w:cs="Times New Roman"/>
                <w:lang w:eastAsia="et-EE"/>
              </w:rPr>
              <w:t>Abikõlblik kulu peab olema mõistlik, põhjendatud, selge, üksikasjalikult kirjeldatud, majanduslikult otstarbekas ja toetuse eesmärgi saavutamiseks vajalik. Projektitoetuse taotleja tagab kasutatava toetusraha otstarbeka ja säästliku kasutamise.</w:t>
            </w:r>
          </w:p>
        </w:tc>
      </w:tr>
      <w:tr w:rsidR="00B92FD1" w:rsidRPr="00A70450" w:rsidTr="0030239D">
        <w:trPr>
          <w:trHeight w:val="232"/>
        </w:trPr>
        <w:tc>
          <w:tcPr>
            <w:tcW w:w="9380" w:type="dxa"/>
            <w:tcBorders>
              <w:top w:val="single" w:sz="4" w:space="0" w:color="auto"/>
              <w:left w:val="single" w:sz="4" w:space="0" w:color="auto"/>
              <w:bottom w:val="nil"/>
              <w:right w:val="single" w:sz="4" w:space="0" w:color="000000"/>
            </w:tcBorders>
            <w:shd w:val="clear" w:color="auto" w:fill="76923C" w:themeFill="accent3" w:themeFillShade="BF"/>
          </w:tcPr>
          <w:p w:rsidR="00B92FD1" w:rsidRPr="00B92FD1" w:rsidRDefault="00B92FD1" w:rsidP="00B92FD1">
            <w:pPr>
              <w:spacing w:after="0" w:line="240" w:lineRule="auto"/>
              <w:rPr>
                <w:rFonts w:ascii="Times New Roman" w:eastAsia="Times New Roman" w:hAnsi="Times New Roman" w:cs="Times New Roman"/>
                <w:b/>
                <w:lang w:eastAsia="et-EE"/>
              </w:rPr>
            </w:pPr>
            <w:r w:rsidRPr="00B92FD1">
              <w:rPr>
                <w:rFonts w:ascii="Times New Roman" w:eastAsia="Times New Roman" w:hAnsi="Times New Roman" w:cs="Times New Roman"/>
                <w:b/>
                <w:lang w:eastAsia="et-EE"/>
              </w:rPr>
              <w:t>Mitteabikõlblikud kulud</w:t>
            </w:r>
          </w:p>
        </w:tc>
      </w:tr>
      <w:tr w:rsidR="00B92FD1" w:rsidRPr="00A70450" w:rsidTr="00A70450">
        <w:trPr>
          <w:trHeight w:val="428"/>
        </w:trPr>
        <w:tc>
          <w:tcPr>
            <w:tcW w:w="9380" w:type="dxa"/>
            <w:tcBorders>
              <w:top w:val="single" w:sz="4" w:space="0" w:color="auto"/>
              <w:left w:val="single" w:sz="4" w:space="0" w:color="auto"/>
              <w:bottom w:val="nil"/>
              <w:right w:val="single" w:sz="4" w:space="0" w:color="000000"/>
            </w:tcBorders>
            <w:shd w:val="clear" w:color="auto" w:fill="auto"/>
          </w:tcPr>
          <w:p w:rsidR="00B92FD1" w:rsidRPr="00572F20" w:rsidRDefault="00B92FD1" w:rsidP="00B92FD1">
            <w:pPr>
              <w:pStyle w:val="Normaallaadveeb"/>
              <w:numPr>
                <w:ilvl w:val="0"/>
                <w:numId w:val="5"/>
              </w:numPr>
              <w:jc w:val="both"/>
              <w:rPr>
                <w:rFonts w:cs="Times New Roman"/>
                <w:sz w:val="22"/>
                <w:szCs w:val="22"/>
                <w:lang w:val="et-EE"/>
              </w:rPr>
            </w:pPr>
            <w:r w:rsidRPr="00572F20">
              <w:rPr>
                <w:rFonts w:cs="Times New Roman"/>
                <w:sz w:val="22"/>
                <w:szCs w:val="22"/>
                <w:lang w:val="et-EE"/>
              </w:rPr>
              <w:t>Investeeringud ja tegevused, mis on tehtud enne projektitaotluse esitamist PRIA-le;</w:t>
            </w:r>
          </w:p>
          <w:p w:rsidR="00B92FD1" w:rsidRPr="00572F20" w:rsidRDefault="00B92FD1" w:rsidP="00B92FD1">
            <w:pPr>
              <w:pStyle w:val="Normaallaadveeb"/>
              <w:numPr>
                <w:ilvl w:val="0"/>
                <w:numId w:val="5"/>
              </w:numPr>
              <w:jc w:val="both"/>
              <w:rPr>
                <w:rFonts w:cs="Times New Roman"/>
                <w:sz w:val="22"/>
                <w:szCs w:val="22"/>
                <w:lang w:val="et-EE"/>
              </w:rPr>
            </w:pPr>
            <w:r w:rsidRPr="00572F20">
              <w:rPr>
                <w:rFonts w:cs="Times New Roman"/>
                <w:sz w:val="22"/>
                <w:szCs w:val="22"/>
                <w:lang w:val="et-EE"/>
              </w:rPr>
              <w:t>Organisatsiooni üldkulud;</w:t>
            </w:r>
          </w:p>
          <w:p w:rsidR="00BA13EF" w:rsidRPr="009C2517" w:rsidRDefault="00BA13EF" w:rsidP="00BA13EF">
            <w:pPr>
              <w:pStyle w:val="Normaallaadveeb"/>
              <w:jc w:val="both"/>
              <w:rPr>
                <w:rFonts w:cs="Times New Roman"/>
                <w:sz w:val="22"/>
                <w:szCs w:val="22"/>
                <w:lang w:val="et-EE"/>
              </w:rPr>
            </w:pPr>
            <w:r w:rsidRPr="009C2517">
              <w:rPr>
                <w:rFonts w:cs="Times New Roman"/>
                <w:sz w:val="22"/>
                <w:szCs w:val="22"/>
                <w:lang w:val="et-EE"/>
              </w:rPr>
              <w:t xml:space="preserve">Mitteabikõlblikud kulud vastavalt maaeluministri määruse 23.10.2015 nr 11 „Kohaliku tegevusgrupi toetus ja LEADER projektitoetus“ §31 alusel: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lastRenderedPageBreak/>
              <w:t xml:space="preserve">Maa ja olemasoleva ehitise ostmise ning üürimise või rentimise kulud, välja arvatud kontoriruumi ja ürituse korraldamiseks vajaliku maa ja ruumi rentimise kulud;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Käibemaks juhul, kui projektitoetuse taotlejal on võimalik taotleda selle tagastamist käibemaksuseaduse alusel;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Sularahamaksed;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Riigilõiv, teenustasu pangatoimingu eest, tagatismakse, intress ja muu finantsteenusega seotud kulu;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Õigus- ja raamatupidamisteenuse kulud;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Viivis, trahv ja muu rahaline karistus ning kohtumenetluse korral menetluskulud;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Kulutused stipendiumile, annetustele, auhindadele, meenetele ja kingitustele, välja arvatud kingitused §-s 29 nimetatud koostööprojekti korral;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Erisoodustuselt tulumaksuseaduse § 48 lõike 4 tähenduses tasutav maks;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Eksperdi või projektijuhi töötasu, sealhulgas sotsiaal- ja tulumaks ning kohustusliku kogumispensioni ja töötuskindlustusmaksed, kui ekspert või projektijuht on ametnik või avalikus teenistuses töötav töötaja või riigi või kohaliku omavalitsuse üksuse hallatava asutuse töötaja, kelle tööülesanded on sarnased toetatava tegevusega;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Sõiduauto ostmise ja liisimise kulud;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Kulud, mis on seotud liisingulepinguga, nagu liisinguandja kasumimäär, intressi refinantseerimiskulud, üldkulud ja kindlustusmaksed;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Liisingumakse, kui asja omandiõigus ei ole viie aasta möödudes arvates PRIA poolt projektitaotluse rahuldamise otsuse tegemisest, kuid mitte hiljem kui 2023. aasta 30. juunil üle läinud toetuse saajale;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Kohaliku omavalitsuse üksuse ülesande asendamiseks tehtud kulud;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Kulud, mis on vastuolus Euroopa Parlamendi ja nõukogu määruse (EL) nr 1305/2013 III jaotise I ja II peatükis nimetatud meetmete ning sama määruse artiklites 60 ja 61 sätestatud nõuetega;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Projekti toetatava tegevuse elluviimisega seotud üldkulud, välja arvatud ühis-, teadmussiirde- ja koostööprojekti projektijuhtimisega seotud otsesed personalikulud ja kaudsed kulud;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Ühis-, teadmussiirde- ja koostööprojekti elluviimisega seotud projektijuhtimise otsesed personalikulud ja kaudsed kulud, kui projektitoetuse taotleja on kohaliku omavalitsuse üksus või põllu- ja maamajanduse valdkonna riigimuuseum;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Ühis-, teadmussiirde- ja koostööprojekti elluviimisega seotud projektijuhtimise otsesed personalikulud, mille maksumus ületab 20 protsenti ühis-, teadmussiirde- ja koostööprojekti projektijuhtimisega seotud abikõlblikest kuludest, sealhulgas projektijuhi brutotunnitasu, mis ületab kümmet eurot;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Projektijuhtimise otsesed personalikulud ja kaudsed kulud, mille maksumus on arvutatud Euroopa Parlamendi ja nõukogu määruse (EL) nr 1305/2013 artikli 45 lõike 2 punktides a ja b nimetatud abikõlblikest kuludest;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Kasutatud kauba ostmise ja liisimise kulud, välja arvatud § 30 lõikes 4 sätestatud juhul;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Kulud, mis ületavad Euroopa Liidu ühise põllumajanduspoliitika rakendamise seaduse § 99 lõikes 6 nimetatud võrdlushindade kataloogi kantud asja või teenuse piirhinda, kui taotletakse toetust asja või teenuse kohta, mis on kantud nimetatud võrdlushindade kataloogi;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Ühis- ja koostööprojektis osaleva selle partneri kulud, kes ei ole taotleja; </w:t>
            </w:r>
          </w:p>
          <w:p w:rsidR="00B92FD1" w:rsidRPr="009C2517" w:rsidRDefault="00B92FD1" w:rsidP="00B92FD1">
            <w:pPr>
              <w:pStyle w:val="Normaallaadveeb"/>
              <w:numPr>
                <w:ilvl w:val="0"/>
                <w:numId w:val="5"/>
              </w:numPr>
              <w:jc w:val="both"/>
              <w:rPr>
                <w:rFonts w:cs="Times New Roman"/>
                <w:sz w:val="22"/>
                <w:szCs w:val="22"/>
                <w:lang w:val="et-EE"/>
              </w:rPr>
            </w:pPr>
            <w:r w:rsidRPr="009C2517">
              <w:rPr>
                <w:rFonts w:cs="Times New Roman"/>
                <w:sz w:val="22"/>
                <w:szCs w:val="22"/>
                <w:lang w:val="et-EE"/>
              </w:rPr>
              <w:t xml:space="preserve">Ehitustegevus, mis ei võimalda selle elluviimise järel ehitist sihipäraselt kasutada; </w:t>
            </w:r>
          </w:p>
          <w:p w:rsidR="00B92FD1" w:rsidRPr="00B92FD1" w:rsidRDefault="00B92FD1" w:rsidP="00B92FD1">
            <w:pPr>
              <w:spacing w:after="0" w:line="240" w:lineRule="auto"/>
              <w:rPr>
                <w:rFonts w:ascii="Times New Roman" w:eastAsia="Times New Roman" w:hAnsi="Times New Roman" w:cs="Times New Roman"/>
                <w:color w:val="365F91" w:themeColor="accent1" w:themeShade="BF"/>
                <w:lang w:eastAsia="et-EE"/>
              </w:rPr>
            </w:pPr>
            <w:r w:rsidRPr="009C2517">
              <w:rPr>
                <w:rFonts w:ascii="Times New Roman" w:hAnsi="Times New Roman" w:cs="Times New Roman"/>
              </w:rPr>
              <w:t>Muud kulud, mis ei ole tegevuse elluviimisega või investeeringu tegemisega otseselt seotud.</w:t>
            </w:r>
          </w:p>
        </w:tc>
      </w:tr>
      <w:tr w:rsidR="00B92FD1" w:rsidRPr="00A70450" w:rsidTr="0030239D">
        <w:trPr>
          <w:trHeight w:val="428"/>
        </w:trPr>
        <w:tc>
          <w:tcPr>
            <w:tcW w:w="9380" w:type="dxa"/>
            <w:tcBorders>
              <w:top w:val="single" w:sz="4" w:space="0" w:color="auto"/>
              <w:left w:val="single" w:sz="4" w:space="0" w:color="auto"/>
              <w:bottom w:val="nil"/>
              <w:right w:val="single" w:sz="4" w:space="0" w:color="000000"/>
            </w:tcBorders>
            <w:shd w:val="clear" w:color="auto" w:fill="76923C" w:themeFill="accent3" w:themeFillShade="BF"/>
          </w:tcPr>
          <w:p w:rsidR="00B92FD1" w:rsidRPr="00B92FD1" w:rsidRDefault="00B92FD1" w:rsidP="00B92FD1">
            <w:pPr>
              <w:pStyle w:val="Normaallaadveeb"/>
              <w:jc w:val="both"/>
              <w:rPr>
                <w:rFonts w:cs="Times New Roman"/>
                <w:b/>
                <w:color w:val="365F91" w:themeColor="accent1" w:themeShade="BF"/>
                <w:sz w:val="22"/>
                <w:szCs w:val="22"/>
                <w:lang w:val="et-EE"/>
              </w:rPr>
            </w:pPr>
            <w:r w:rsidRPr="00B92FD1">
              <w:rPr>
                <w:rFonts w:cs="Times New Roman"/>
                <w:b/>
                <w:sz w:val="22"/>
                <w:szCs w:val="22"/>
                <w:lang w:val="et-EE"/>
              </w:rPr>
              <w:lastRenderedPageBreak/>
              <w:t>Nõuded investeeringu ja tegevuse hinnapakkumise kohta</w:t>
            </w:r>
          </w:p>
        </w:tc>
      </w:tr>
      <w:tr w:rsidR="00B92FD1" w:rsidRPr="00A70450" w:rsidTr="00A70450">
        <w:trPr>
          <w:trHeight w:val="428"/>
        </w:trPr>
        <w:tc>
          <w:tcPr>
            <w:tcW w:w="9380" w:type="dxa"/>
            <w:tcBorders>
              <w:top w:val="single" w:sz="4" w:space="0" w:color="auto"/>
              <w:left w:val="single" w:sz="4" w:space="0" w:color="auto"/>
              <w:bottom w:val="nil"/>
              <w:right w:val="single" w:sz="4" w:space="0" w:color="000000"/>
            </w:tcBorders>
            <w:shd w:val="clear" w:color="auto" w:fill="auto"/>
          </w:tcPr>
          <w:p w:rsidR="005638C2" w:rsidRPr="009C2517" w:rsidRDefault="005638C2" w:rsidP="0020080D">
            <w:pPr>
              <w:pStyle w:val="Normaallaadveeb"/>
              <w:jc w:val="both"/>
              <w:rPr>
                <w:rFonts w:cs="Times New Roman"/>
                <w:sz w:val="22"/>
                <w:szCs w:val="22"/>
                <w:lang w:val="et-EE"/>
              </w:rPr>
            </w:pPr>
            <w:r w:rsidRPr="009C2517">
              <w:rPr>
                <w:rFonts w:cs="Times New Roman"/>
                <w:sz w:val="22"/>
                <w:szCs w:val="22"/>
                <w:lang w:val="et-EE"/>
              </w:rPr>
              <w:t>Vastavalt maaelu ministri määruse 23.10.2015 nr 11 „Kohaliku tegevusgrupi toetus ja LEADER projektitoetus“ §33 alusel:</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Kui tegevuse või investeeringu käibemaksuta maksumus ületab 5000 eurot, on projektitoetuse taotleja või projektitoetuse saaja saanud vähemalt kolmelt asjakohast teenustosutavalt, tööd pakkuvalt või kaupa müüvalt isikult võrreldavad hinnapakkumused koos projektitoetuse saaja väljastatud tehniliste tingimuste loeteluga, mis osutavad tehnilisele spetsifikatsioonile.</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 xml:space="preserve">Kui tegevuse või investeeringu käibemaksuta maksumus on vahemikus 100–5000 eurot või kui asjaomases valdkonnas on ainult üks teenuse osutaja, töö pakkuja või kauba müüja, on projektitoetuse taotleja või projektitoetuse saaja saanud vähemalt ühe hinnapakkumuse koos </w:t>
            </w:r>
            <w:r w:rsidRPr="009C2517">
              <w:rPr>
                <w:rFonts w:ascii="Times New Roman" w:hAnsi="Times New Roman" w:cs="Times New Roman"/>
              </w:rPr>
              <w:lastRenderedPageBreak/>
              <w:t>projektitoetuse saaja väljastatud tehniliste tingimuste loeteluga, mis osutavad tehnilisele spetsifikatsioonile.</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Väljavalitud hinnapakkumus ei tohi olla põhjendamatult kõrge võrreldes tavaliselt sarnase tegevuse eest tasutava hinnaga.</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Väljavalitud hinnapakkumus peab olema objektiivselt põhjendatud ja juhul, kui projektitoetuse saaja ei ole saanud nõutud arvu hinnapakkumusi või valinud odavaimat hinnapakkumust, peab selle kohta esitama põhjenduse.</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Projektitoetuse saaja ja isik, kellelt projektitoetuse taotleja või projektitoetuse saaja tellib teenuse või töö või ostab kaupa, ning nende osanik, aktsionär või tulundusühistu liige või juhatuse või nõukogu liige või seltsinglane ei tohi kuuluda üksteise juhatusse ega nõukokku ega omada osalust üksteise äriühingus, välja arvatud juhul, kui tegevuse või investeeringu käibemaksuta maksumus ei ületa 1000 eurot või kui projektitoetuse saaja on kohalik tegevusgrupp ja tegevuse või investeeringu käibemaksuta maksumus ei ületa 5000 eurot.</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Kui tegevuse või investeeringu käibemaksuta maksumus ületab 1000 eurot ning kui projektitoetuse taotleja või projektitoetuse saaja on kohalik tegevusgrupp ja hinnapakkuja on sama kohaliku tegevusgrupi juhatuse liige või tegevjuht või kohaliku tegevusgrupi juhatuse liige või tegevjuht on hinnapakkuja osanik, aktsionär või tulundusühistu liige või juhatuse või nõukogu liige, on projektitoetuse taotleja või projektitoetuse saaja saanud vähemalt kolm võrreldavat hinnapakkumust.</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Projektitoetuse saaja ei tohi jaotada tegevuse hinnapakkumust osadeks, kui toetatava tegevuse elluviimiseks või investeeringu tegemiseks vajalik teenus, töö või kaup on funktsionaalselt koos toimiv.</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Hanke korraldamisel järgitakse riigihangete seadust, kui projektitoetuse taotleja on hankija riigihangete seaduse § 10 tähenduses.</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Hinnapakkumuse võtmisel järgitakse § 19 lõikes 8 sätestatut ning ehitustegevuse puhul lisaks § 19 lõikes 9 sätestatut.</w:t>
            </w:r>
          </w:p>
          <w:p w:rsidR="005638C2" w:rsidRPr="009C2517"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Kui projektitoetuse saaja taotleb toetust kasutatud masina või seadme ostmiseks, peab taotleja olema saanud vähemalt ühe hinnapakkumuse kasutatud seadme või masina kohta ja ühe hinnapakkumuse uue samaväärse seadme või masina kohta, kui uus samaväärne seade või masin ei ole Euroopa Liidu ühise põllumajanduspoliitika rakendamise seaduse § 99 lõike 6 kohaselt kantud põllumajandustoetuste ja põllumassiivide registrisse.</w:t>
            </w:r>
          </w:p>
          <w:p w:rsidR="005638C2" w:rsidRDefault="005638C2"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Kui projektitoetuse saaja taotleb toetust Euroopa Liidu ühise põllumajanduspoliitika rakendamise seaduse § 99 lõikes 6 nimetatud võrdlushindade kataloogi kantud asja kohta, ei pea projektitoetuse saaja olema saanud hinnapakkumust.</w:t>
            </w:r>
          </w:p>
          <w:p w:rsidR="000F512D" w:rsidRPr="000F512D" w:rsidRDefault="000F512D" w:rsidP="005638C2">
            <w:pPr>
              <w:pStyle w:val="Loendilik"/>
              <w:numPr>
                <w:ilvl w:val="0"/>
                <w:numId w:val="6"/>
              </w:numPr>
              <w:autoSpaceDE w:val="0"/>
              <w:autoSpaceDN w:val="0"/>
              <w:adjustRightInd w:val="0"/>
              <w:spacing w:after="0" w:line="240" w:lineRule="auto"/>
              <w:rPr>
                <w:rFonts w:ascii="Times New Roman" w:hAnsi="Times New Roman" w:cs="Times New Roman"/>
              </w:rPr>
            </w:pPr>
            <w:r w:rsidRPr="000F512D">
              <w:rPr>
                <w:rFonts w:ascii="Times New Roman" w:hAnsi="Times New Roman" w:cs="Times New Roman"/>
              </w:rPr>
              <w:t>Kui lõikes 1 nimetatud tehniliste tingimuste loetelu on avaldatud riigihangete registris, võib projektitoetuse saaja saada vähem kui kolm hinnapakkumust, kui tegevuse või investeeringuobjekti käibemaksuta maksumus on vahemikus 5000 – 10 000 eurot.</w:t>
            </w:r>
          </w:p>
          <w:p w:rsidR="00BA13EF" w:rsidRPr="009C2517" w:rsidRDefault="00BA13EF" w:rsidP="00BA13EF">
            <w:pPr>
              <w:autoSpaceDE w:val="0"/>
              <w:autoSpaceDN w:val="0"/>
              <w:adjustRightInd w:val="0"/>
              <w:spacing w:after="0" w:line="240" w:lineRule="auto"/>
              <w:rPr>
                <w:rFonts w:ascii="Times New Roman" w:hAnsi="Times New Roman" w:cs="Times New Roman"/>
              </w:rPr>
            </w:pPr>
            <w:r w:rsidRPr="009C2517">
              <w:rPr>
                <w:rFonts w:ascii="Times New Roman" w:hAnsi="Times New Roman" w:cs="Times New Roman"/>
              </w:rPr>
              <w:t>Lisaks:</w:t>
            </w:r>
          </w:p>
          <w:p w:rsidR="00BA13EF" w:rsidRDefault="00BA13EF" w:rsidP="00BA13EF">
            <w:pPr>
              <w:pStyle w:val="Loendilik"/>
              <w:numPr>
                <w:ilvl w:val="0"/>
                <w:numId w:val="6"/>
              </w:numPr>
              <w:autoSpaceDE w:val="0"/>
              <w:autoSpaceDN w:val="0"/>
              <w:adjustRightInd w:val="0"/>
              <w:spacing w:after="0" w:line="240" w:lineRule="auto"/>
              <w:rPr>
                <w:rFonts w:ascii="Times New Roman" w:hAnsi="Times New Roman" w:cs="Times New Roman"/>
              </w:rPr>
            </w:pPr>
            <w:r w:rsidRPr="003575DF">
              <w:rPr>
                <w:rFonts w:ascii="Times New Roman" w:hAnsi="Times New Roman" w:cs="Times New Roman"/>
              </w:rPr>
              <w:t>Hinnapakkumus peab sisaldama taotleja nime, hinnapakkuja nime ja kontaktandme</w:t>
            </w:r>
            <w:r w:rsidR="0050403A" w:rsidRPr="003575DF">
              <w:rPr>
                <w:rFonts w:ascii="Times New Roman" w:hAnsi="Times New Roman" w:cs="Times New Roman"/>
              </w:rPr>
              <w:t>id, hinnapakkumise koostamise kuu</w:t>
            </w:r>
            <w:r w:rsidRPr="003575DF">
              <w:rPr>
                <w:rFonts w:ascii="Times New Roman" w:hAnsi="Times New Roman" w:cs="Times New Roman"/>
              </w:rPr>
              <w:t xml:space="preserve">päeva, hinnapakkumise kehtivusaega </w:t>
            </w:r>
            <w:r w:rsidR="0050403A" w:rsidRPr="003575DF">
              <w:rPr>
                <w:rFonts w:ascii="Times New Roman" w:hAnsi="Times New Roman" w:cs="Times New Roman"/>
              </w:rPr>
              <w:t xml:space="preserve"> </w:t>
            </w:r>
            <w:r w:rsidRPr="003575DF">
              <w:rPr>
                <w:rFonts w:ascii="Times New Roman" w:hAnsi="Times New Roman" w:cs="Times New Roman"/>
              </w:rPr>
              <w:t>ning toetatava tegevuse käibemaksuta maksumust.</w:t>
            </w:r>
          </w:p>
          <w:p w:rsidR="00B20E3F" w:rsidRPr="003D049B" w:rsidRDefault="00B20E3F" w:rsidP="00BA13EF">
            <w:pPr>
              <w:pStyle w:val="Loendilik"/>
              <w:numPr>
                <w:ilvl w:val="0"/>
                <w:numId w:val="6"/>
              </w:numPr>
              <w:autoSpaceDE w:val="0"/>
              <w:autoSpaceDN w:val="0"/>
              <w:adjustRightInd w:val="0"/>
              <w:spacing w:after="0" w:line="240" w:lineRule="auto"/>
              <w:rPr>
                <w:rFonts w:ascii="Times New Roman" w:hAnsi="Times New Roman" w:cs="Times New Roman"/>
              </w:rPr>
            </w:pPr>
            <w:r w:rsidRPr="003D049B">
              <w:rPr>
                <w:rFonts w:ascii="Times New Roman" w:hAnsi="Times New Roman" w:cs="Times New Roman"/>
              </w:rPr>
              <w:t>Hinnapakkumise pakkumiskutse</w:t>
            </w:r>
          </w:p>
          <w:p w:rsidR="00B92FD1" w:rsidRPr="0020080D" w:rsidRDefault="00B92FD1" w:rsidP="005638C2">
            <w:pPr>
              <w:pStyle w:val="Normaallaadveeb"/>
              <w:jc w:val="both"/>
              <w:rPr>
                <w:rFonts w:cs="Times New Roman"/>
                <w:color w:val="365F91" w:themeColor="accent1" w:themeShade="BF"/>
                <w:sz w:val="22"/>
                <w:szCs w:val="22"/>
                <w:lang w:val="et-EE"/>
              </w:rPr>
            </w:pPr>
          </w:p>
        </w:tc>
      </w:tr>
      <w:tr w:rsidR="00A70450" w:rsidRPr="00A70450" w:rsidTr="0030239D">
        <w:trPr>
          <w:trHeight w:val="556"/>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A70450" w:rsidRPr="001E33A0" w:rsidRDefault="00A70450" w:rsidP="00A70450">
            <w:pPr>
              <w:spacing w:after="0" w:line="240" w:lineRule="auto"/>
              <w:rPr>
                <w:rFonts w:ascii="Times New Roman" w:eastAsia="Times New Roman" w:hAnsi="Times New Roman" w:cs="Times New Roman"/>
                <w:b/>
                <w:lang w:eastAsia="et-EE"/>
              </w:rPr>
            </w:pPr>
            <w:r w:rsidRPr="001E33A0">
              <w:rPr>
                <w:rFonts w:ascii="Times New Roman" w:eastAsia="Times New Roman" w:hAnsi="Times New Roman" w:cs="Times New Roman"/>
                <w:b/>
                <w:lang w:eastAsia="et-EE"/>
              </w:rPr>
              <w:lastRenderedPageBreak/>
              <w:t>Kohaliku tegevusgrupi nõuded projektitoetuse taotlejale ja toetuse saajale (sh. dokumendid , mida peab projektitoetuse taotleja esitama taotluse esitamisel)</w:t>
            </w:r>
          </w:p>
        </w:tc>
      </w:tr>
      <w:tr w:rsidR="00A70450" w:rsidRPr="00A70450" w:rsidTr="00A441EE">
        <w:trPr>
          <w:trHeight w:val="7078"/>
        </w:trPr>
        <w:tc>
          <w:tcPr>
            <w:tcW w:w="9380" w:type="dxa"/>
            <w:tcBorders>
              <w:top w:val="single" w:sz="4" w:space="0" w:color="auto"/>
              <w:left w:val="single" w:sz="4" w:space="0" w:color="auto"/>
              <w:bottom w:val="nil"/>
              <w:right w:val="single" w:sz="4" w:space="0" w:color="000000"/>
            </w:tcBorders>
            <w:shd w:val="clear" w:color="auto" w:fill="auto"/>
            <w:hideMark/>
          </w:tcPr>
          <w:p w:rsidR="005638C2" w:rsidRPr="005638C2" w:rsidRDefault="005638C2" w:rsidP="004253EA">
            <w:pPr>
              <w:spacing w:after="0" w:line="240" w:lineRule="auto"/>
              <w:rPr>
                <w:rFonts w:ascii="Times New Roman" w:eastAsia="Times New Roman" w:hAnsi="Times New Roman" w:cs="Times New Roman"/>
                <w:color w:val="000000"/>
                <w:u w:val="single"/>
                <w:lang w:eastAsia="et-EE"/>
              </w:rPr>
            </w:pPr>
            <w:r w:rsidRPr="005638C2">
              <w:rPr>
                <w:rFonts w:ascii="Times New Roman" w:eastAsia="Times New Roman" w:hAnsi="Times New Roman" w:cs="Times New Roman"/>
                <w:color w:val="000000"/>
                <w:u w:val="single"/>
                <w:lang w:eastAsia="et-EE"/>
              </w:rPr>
              <w:lastRenderedPageBreak/>
              <w:t xml:space="preserve">Projektitoetuse taotlejale esitatavad nõuded: </w:t>
            </w:r>
          </w:p>
          <w:p w:rsidR="005638C2" w:rsidRPr="003575DF" w:rsidRDefault="00572F20"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Taotleja on</w:t>
            </w:r>
            <w:r w:rsidR="005638C2" w:rsidRPr="003575DF">
              <w:rPr>
                <w:rFonts w:ascii="Times New Roman" w:eastAsia="Times New Roman" w:hAnsi="Times New Roman" w:cs="Times New Roman"/>
                <w:lang w:eastAsia="et-EE"/>
              </w:rPr>
              <w:t xml:space="preserve"> tegutseb VPK tegevuspiirkonnas;</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Taotleja on eelnevalt esitanud projektikavandi elektroonselt või käinud MTÜ Võrumaa Partnerluskogu kutsel kohapealsel nõustamisel;</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Taotleja reaalne majandustegevus peab olema kestnud vähemalt 1 aasta (ettevõtja puhul) MTÜ ja SA peavad ol</w:t>
            </w:r>
            <w:r w:rsidR="00852916" w:rsidRPr="003575DF">
              <w:rPr>
                <w:rFonts w:ascii="Times New Roman" w:eastAsia="Times New Roman" w:hAnsi="Times New Roman" w:cs="Times New Roman"/>
                <w:lang w:eastAsia="et-EE"/>
              </w:rPr>
              <w:t xml:space="preserve">ema tegutsenud vähemalt 6 kuud; </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Kui taotleja on hankija „Riigihangete seaduse“ tähenduses peab ta hangete läbiviimisel järgima lisaks „Riigihangete seaduses“ kehtestatud nõudeid;</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Taotleja saab ühes voorus esitada ühte meetmesse ühe taotluse; </w:t>
            </w:r>
          </w:p>
          <w:p w:rsidR="00E76135" w:rsidRPr="003575DF" w:rsidRDefault="00E76135" w:rsidP="00E76135">
            <w:pPr>
              <w:pStyle w:val="Normaallaadveeb"/>
              <w:jc w:val="both"/>
              <w:rPr>
                <w:rFonts w:cs="Times New Roman"/>
                <w:sz w:val="22"/>
                <w:szCs w:val="22"/>
                <w:lang w:val="et-EE"/>
              </w:rPr>
            </w:pPr>
            <w:bookmarkStart w:id="0" w:name="_GoBack"/>
            <w:bookmarkEnd w:id="0"/>
            <w:r w:rsidRPr="003575DF">
              <w:rPr>
                <w:rFonts w:cs="Times New Roman"/>
                <w:sz w:val="22"/>
                <w:szCs w:val="22"/>
                <w:lang w:val="et-EE"/>
              </w:rPr>
              <w:t>Vastavalt maaelu ministri määruse 23.10.2015 nr 11 „Kohaliku tegevusgrupi toetus ja LEADER projektitoetus“ §27 alusel:</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Taotleja vastab Euroopa Parlamendi ja nõukogu määruse (EL) nr 1305/2013 III jaotise I peatükis ja strateegia meetmes nimetatud taotleja kohta esitatud nõuetele ning riigiabi reeglitest tulenevatele nõuetele; </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Taotleja ei ole riikliku maksu võlga või tema riikliku maksu võla tasumine on ajatatud ja maksuvõla tasumise ajatamise korral on maksuvõlg, mille tasumise tähtaeg on möödunud, tasutud ettenähtud summas;</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Taotleja ei ole saanud ega taotle samal ajal sama tegevuse või investeeringuobjekti kohta toetust riigieelarvelistest või muudest Euroopa Liidu või välisvahenditest või muud tagastamatut riigiabi; </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Taotleja on varem riigieelarvelistest või muudest Euroopa Liidu või välisvahenditest saadud ja tagasimaksmisele kuulunud summa tähtajal tagasi maksnud või toetuse tagasimaksmise ajatamise korral tagasimaksed tasunud ettenähtud summas; </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Taotleja suhtes ei ole algatatud likvideerimismenetlust ega kohtuotsusega välja kuulutatud pankrotti; </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Tähtajaliselt asutatud projektitoetuse taotleja puhul ei ole see tähtaeg lühem kui viis aastat arvates PRIA poolt vii</w:t>
            </w:r>
            <w:r w:rsidR="000F0BCC" w:rsidRPr="003575DF">
              <w:rPr>
                <w:rFonts w:ascii="Times New Roman" w:eastAsia="Times New Roman" w:hAnsi="Times New Roman" w:cs="Times New Roman"/>
                <w:lang w:eastAsia="et-EE"/>
              </w:rPr>
              <w:t>mase toetusosa väljamaksmisest;</w:t>
            </w:r>
          </w:p>
          <w:p w:rsidR="005638C2" w:rsidRPr="003575DF" w:rsidRDefault="005638C2" w:rsidP="005638C2">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Projektitoetuse taotleja ei või toetatava tegevuse elluviimist või investeeringu tegemist alustada varem ja tegevuse elluviimist või investeeringu tegemist tõendavad dokumendid ei või olla väljastatud varem kui kohaliku tegevusgrupi poolt projektitaotluse PRIAle esi</w:t>
            </w:r>
            <w:r w:rsidR="00866D7F" w:rsidRPr="003575DF">
              <w:rPr>
                <w:rFonts w:ascii="Times New Roman" w:eastAsia="Times New Roman" w:hAnsi="Times New Roman" w:cs="Times New Roman"/>
                <w:lang w:eastAsia="et-EE"/>
              </w:rPr>
              <w:t>tamise päevale järgneval päeval.</w:t>
            </w:r>
          </w:p>
          <w:p w:rsidR="00866D7F" w:rsidRPr="003575DF" w:rsidRDefault="00866D7F" w:rsidP="00866D7F">
            <w:pPr>
              <w:pStyle w:val="Normaallaadveeb"/>
              <w:jc w:val="both"/>
              <w:rPr>
                <w:rFonts w:cs="Times New Roman"/>
                <w:sz w:val="22"/>
                <w:szCs w:val="22"/>
                <w:lang w:val="et-EE"/>
              </w:rPr>
            </w:pPr>
            <w:r w:rsidRPr="003575DF">
              <w:rPr>
                <w:rFonts w:cs="Times New Roman"/>
                <w:sz w:val="22"/>
                <w:szCs w:val="22"/>
                <w:lang w:val="et-EE"/>
              </w:rPr>
              <w:t>Vastavalt maaelu ministri määruse 23.10.2015 nr 11 „Kohaliku tegevusgrupi toetus ja LEADER projektitoetus“ §28 alusel:</w:t>
            </w:r>
          </w:p>
          <w:p w:rsidR="00866D7F" w:rsidRPr="003575DF" w:rsidRDefault="00866D7F" w:rsidP="00866D7F">
            <w:pPr>
              <w:pStyle w:val="Normaallaadveeb"/>
              <w:jc w:val="both"/>
              <w:rPr>
                <w:rFonts w:cs="Times New Roman"/>
                <w:sz w:val="22"/>
                <w:szCs w:val="22"/>
                <w:lang w:val="et-EE"/>
              </w:rPr>
            </w:pPr>
            <w:r w:rsidRPr="003575DF">
              <w:rPr>
                <w:rFonts w:cs="Times New Roman"/>
                <w:sz w:val="22"/>
                <w:szCs w:val="22"/>
                <w:lang w:val="et-EE"/>
              </w:rPr>
              <w:t>(1) Projektitoetust võib taotleda strateegia meetmes nimetatud tegevuse, sealhulgas koostööprojekti elluviimiseks.</w:t>
            </w:r>
          </w:p>
          <w:p w:rsidR="004253EA" w:rsidRPr="003575DF" w:rsidRDefault="00866D7F" w:rsidP="00866D7F">
            <w:p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(2) </w:t>
            </w:r>
            <w:r w:rsidR="004253EA" w:rsidRPr="003575DF">
              <w:rPr>
                <w:rFonts w:ascii="Times New Roman" w:eastAsia="Times New Roman" w:hAnsi="Times New Roman" w:cs="Times New Roman"/>
                <w:lang w:eastAsia="et-EE"/>
              </w:rPr>
              <w:t xml:space="preserve">Kui projektitoetuse taotleja taotleb toetust: </w:t>
            </w:r>
          </w:p>
          <w:p w:rsidR="005638C2" w:rsidRPr="003575DF" w:rsidRDefault="005638C2" w:rsidP="00866D7F">
            <w:pPr>
              <w:pStyle w:val="Loendilik"/>
              <w:numPr>
                <w:ilvl w:val="0"/>
                <w:numId w:val="14"/>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Ehitise kohta, mida ehitatakse, välja arvatud uus püstitatav hoone, või kuhu inventar või seade paigaldatakse, või mootorsõiduki kohta, kuhu seade paigaldatakse, on see ehitis või mootorsõiduk projektitoetuse taotleja omandis või on antud talle õiguslikul alusel kasutamiseks vähemalt viieks aastaks arvates PRIA poolt viimase toetusosa väljamaksmisest; </w:t>
            </w:r>
          </w:p>
          <w:p w:rsidR="005638C2" w:rsidRPr="003575DF" w:rsidRDefault="005638C2" w:rsidP="00866D7F">
            <w:pPr>
              <w:pStyle w:val="Loendilik"/>
              <w:numPr>
                <w:ilvl w:val="0"/>
                <w:numId w:val="14"/>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Uue hoone püstitamiseks, peab kavandatava hoone alune maa olema projektitoetuse taotleja omandis või on selle alusele maale projektitoetuse taotleja kasuks seatud hoonestusõigus vähemalt viieks järgnevaks aastaks arvates PRIA poolt viimase toetusosa väljamaksmisest; </w:t>
            </w:r>
          </w:p>
          <w:p w:rsidR="005638C2" w:rsidRPr="003575DF" w:rsidRDefault="005638C2" w:rsidP="00866D7F">
            <w:pPr>
              <w:pStyle w:val="Loendilik"/>
              <w:numPr>
                <w:ilvl w:val="0"/>
                <w:numId w:val="14"/>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Kogukonna vajadustest lähtuva kogukonnateenuse arendamiseks, peab kogukonnateenu</w:t>
            </w:r>
            <w:r w:rsidR="000F0BCC" w:rsidRPr="003575DF">
              <w:rPr>
                <w:rFonts w:ascii="Times New Roman" w:eastAsia="Times New Roman" w:hAnsi="Times New Roman" w:cs="Times New Roman"/>
                <w:lang w:eastAsia="et-EE"/>
              </w:rPr>
              <w:t>s olema kirjeldatud strateegias;</w:t>
            </w:r>
          </w:p>
          <w:p w:rsidR="00E76135" w:rsidRPr="003575DF" w:rsidRDefault="00E76135" w:rsidP="00E76135">
            <w:p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Lisaks: </w:t>
            </w:r>
          </w:p>
          <w:p w:rsidR="004253EA" w:rsidRPr="003575DF" w:rsidRDefault="005638C2" w:rsidP="0020080D">
            <w:pPr>
              <w:pStyle w:val="Loendilik"/>
              <w:numPr>
                <w:ilvl w:val="0"/>
                <w:numId w:val="7"/>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Projekti lõppedes, koos viimase maksetaotluse esitamisega</w:t>
            </w:r>
            <w:r w:rsidR="007C6277" w:rsidRPr="003575DF">
              <w:rPr>
                <w:rFonts w:ascii="Times New Roman" w:eastAsia="Times New Roman" w:hAnsi="Times New Roman" w:cs="Times New Roman"/>
                <w:lang w:eastAsia="et-EE"/>
              </w:rPr>
              <w:t xml:space="preserve"> e-PRIAsse</w:t>
            </w:r>
            <w:r w:rsidRPr="003575DF">
              <w:rPr>
                <w:rFonts w:ascii="Times New Roman" w:eastAsia="Times New Roman" w:hAnsi="Times New Roman" w:cs="Times New Roman"/>
                <w:lang w:eastAsia="et-EE"/>
              </w:rPr>
              <w:t>, esitab toetuse saaja VPK lühikokkuvõtte projektist ning fotod projekti investeeringust või tegevusest</w:t>
            </w:r>
            <w:r w:rsidR="000F0BCC" w:rsidRPr="003575DF">
              <w:rPr>
                <w:rFonts w:ascii="Times New Roman" w:eastAsia="Times New Roman" w:hAnsi="Times New Roman" w:cs="Times New Roman"/>
                <w:lang w:eastAsia="et-EE"/>
              </w:rPr>
              <w:t>;</w:t>
            </w:r>
          </w:p>
          <w:p w:rsidR="0020080D" w:rsidRPr="003575DF" w:rsidRDefault="0020080D" w:rsidP="0020080D">
            <w:pPr>
              <w:pStyle w:val="Loendilik"/>
              <w:spacing w:after="0" w:line="240" w:lineRule="auto"/>
              <w:ind w:left="1065"/>
              <w:rPr>
                <w:rFonts w:ascii="Times New Roman" w:eastAsia="Times New Roman" w:hAnsi="Times New Roman" w:cs="Times New Roman"/>
                <w:lang w:eastAsia="et-EE"/>
              </w:rPr>
            </w:pPr>
          </w:p>
          <w:p w:rsidR="001E33A0" w:rsidRPr="003575DF" w:rsidRDefault="00426CD4" w:rsidP="002906A6">
            <w:pPr>
              <w:pStyle w:val="Normaallaadveeb"/>
              <w:jc w:val="both"/>
              <w:rPr>
                <w:rFonts w:cs="Times New Roman"/>
                <w:sz w:val="22"/>
                <w:szCs w:val="22"/>
                <w:lang w:val="et-EE"/>
              </w:rPr>
            </w:pPr>
            <w:r w:rsidRPr="003575DF">
              <w:rPr>
                <w:rFonts w:cs="Times New Roman"/>
                <w:sz w:val="22"/>
                <w:szCs w:val="22"/>
                <w:lang w:val="et-EE"/>
              </w:rPr>
              <w:t>Vastavalt maaelu ministri määruse 23.10.2015 nr 11 „Kohaliku tegevusgrupi toetus ja LEADER projektitoetus“ § 37 alusel:</w:t>
            </w:r>
          </w:p>
          <w:p w:rsidR="000F0BCC" w:rsidRPr="003575DF" w:rsidRDefault="005638C2" w:rsidP="002906A6">
            <w:pPr>
              <w:spacing w:after="0" w:line="240" w:lineRule="auto"/>
              <w:rPr>
                <w:rFonts w:ascii="Times New Roman" w:eastAsia="Times New Roman" w:hAnsi="Times New Roman" w:cs="Times New Roman"/>
                <w:u w:val="single"/>
                <w:lang w:eastAsia="et-EE"/>
              </w:rPr>
            </w:pPr>
            <w:r w:rsidRPr="003575DF">
              <w:rPr>
                <w:rFonts w:ascii="Times New Roman" w:eastAsia="Times New Roman" w:hAnsi="Times New Roman" w:cs="Times New Roman"/>
                <w:u w:val="single"/>
                <w:lang w:eastAsia="et-EE"/>
              </w:rPr>
              <w:t>Projektitoetuse taotleja esitab PRIA-le koos avaldusega järgmised dokumendid:</w:t>
            </w:r>
          </w:p>
          <w:p w:rsidR="000F0BCC" w:rsidRPr="003575DF" w:rsidRDefault="000F0BCC" w:rsidP="000F0BCC">
            <w:pPr>
              <w:pStyle w:val="Loendilik"/>
              <w:numPr>
                <w:ilvl w:val="0"/>
                <w:numId w:val="8"/>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Vormikohane PRIA projektitaotluse avaldu</w:t>
            </w:r>
            <w:r w:rsidR="00764A0F">
              <w:rPr>
                <w:rFonts w:ascii="Times New Roman" w:eastAsia="Times New Roman" w:hAnsi="Times New Roman" w:cs="Times New Roman"/>
                <w:lang w:eastAsia="et-EE"/>
              </w:rPr>
              <w:t>s</w:t>
            </w:r>
            <w:r w:rsidRPr="003575DF">
              <w:rPr>
                <w:rFonts w:ascii="Times New Roman" w:eastAsia="Times New Roman" w:hAnsi="Times New Roman" w:cs="Times New Roman"/>
                <w:lang w:eastAsia="et-EE"/>
              </w:rPr>
              <w:t>, mis on avaldatud PRIA kodulehel</w:t>
            </w:r>
          </w:p>
          <w:p w:rsidR="005638C2" w:rsidRPr="003575DF" w:rsidRDefault="005638C2" w:rsidP="000F0BCC">
            <w:pPr>
              <w:pStyle w:val="Loendilik"/>
              <w:numPr>
                <w:ilvl w:val="0"/>
                <w:numId w:val="8"/>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Toetatava tegevuse ja kavandatava investeeringu eeldatava maksumuse arvestus kululiikide kaupa, välja arvatud juhul, kui projektitaotluse esitab ühisprojekti taotleja, kelle eelarve on </w:t>
            </w:r>
            <w:r w:rsidRPr="003575DF">
              <w:rPr>
                <w:rFonts w:ascii="Times New Roman" w:eastAsia="Times New Roman" w:hAnsi="Times New Roman" w:cs="Times New Roman"/>
                <w:lang w:eastAsia="et-EE"/>
              </w:rPr>
              <w:lastRenderedPageBreak/>
              <w:t xml:space="preserve">esitatud tegevuskavas; </w:t>
            </w:r>
          </w:p>
          <w:p w:rsidR="005638C2" w:rsidRPr="003575DF" w:rsidRDefault="005638C2" w:rsidP="005638C2">
            <w:pPr>
              <w:pStyle w:val="Loendilik"/>
              <w:numPr>
                <w:ilvl w:val="0"/>
                <w:numId w:val="8"/>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Ehitusteatise- või ehitusloakohustusliku hoone ehitustegevuse puhul kavandatava ehitise maksumuse eelarve vastavalt § 19 lõike 9 nõudele, mis esitatakse Microsoft Exceli tarkvaraga töödeldavas vormingus ning mis on avaldatud PRIA veebilehel; </w:t>
            </w:r>
          </w:p>
          <w:p w:rsidR="005638C2" w:rsidRPr="003575DF" w:rsidRDefault="005638C2" w:rsidP="005638C2">
            <w:pPr>
              <w:pStyle w:val="Loendilik"/>
              <w:numPr>
                <w:ilvl w:val="0"/>
                <w:numId w:val="8"/>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Ehitise puhul, mille ehitamiseks taotletakse toetust alates 30 000 eurost, väljavõte põhiprojekti joonistest koos põhiprojekti seletuskirjaga juhul, kui ehitusprojekt on nõutav ehitusseadustikus sätestatud tingimustel ja korras ning kui ei taotleta toetust ehitusprojekti koostamiseks; </w:t>
            </w:r>
          </w:p>
          <w:p w:rsidR="005638C2" w:rsidRPr="003575DF" w:rsidRDefault="005638C2" w:rsidP="005638C2">
            <w:pPr>
              <w:pStyle w:val="Loendilik"/>
              <w:numPr>
                <w:ilvl w:val="0"/>
                <w:numId w:val="8"/>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Ehitise puhul, mille ehitamiseks taotletakse toetust alla 30 000 euro, väljavõte eelprojekti joonistest koos eelprojekti seletuskirjaga juhul, kui ehitusprojekt on nõutav ehitusseadustikus sätestatud tingimustel ja korras ning kui ei taotleta toetust ehitusprojekti koostamiseks; </w:t>
            </w:r>
          </w:p>
          <w:p w:rsidR="005638C2" w:rsidRPr="003575DF" w:rsidRDefault="005638C2" w:rsidP="005638C2">
            <w:pPr>
              <w:pStyle w:val="Loendilik"/>
              <w:numPr>
                <w:ilvl w:val="0"/>
                <w:numId w:val="8"/>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Äriühingu puhul taotluse esitamise aastale vahetult eelnenud majandusaasta kinnitatud majandusaasta aruande või kontserni puhul taotluse esitamise aastale vahetult eelnenud majandusaasta kinnitatud majandusaasta konsolideeritud aruande ärakiri, kui nimetatud aruanded ei ole kättesaadavad äriregistrist;</w:t>
            </w:r>
          </w:p>
          <w:p w:rsidR="000F0BCC" w:rsidRPr="003575DF" w:rsidRDefault="005638C2" w:rsidP="005638C2">
            <w:pPr>
              <w:pStyle w:val="Loendilik"/>
              <w:numPr>
                <w:ilvl w:val="0"/>
                <w:numId w:val="8"/>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Ärakiri kohaliku tegevusgrupi üldkoosoleku otsusest kohaliku tegevusgrupi projektitaotluse või § 28 lõike 2 punktis 3 nimeta</w:t>
            </w:r>
            <w:r w:rsidR="00F10165" w:rsidRPr="003575DF">
              <w:rPr>
                <w:rFonts w:ascii="Times New Roman" w:eastAsia="Times New Roman" w:hAnsi="Times New Roman" w:cs="Times New Roman"/>
                <w:lang w:eastAsia="et-EE"/>
              </w:rPr>
              <w:t>tud tegevuse heakskiitmise koht (kogukonnateenus)</w:t>
            </w:r>
            <w:r w:rsidRPr="003575DF">
              <w:rPr>
                <w:rFonts w:ascii="Times New Roman" w:eastAsia="Times New Roman" w:hAnsi="Times New Roman" w:cs="Times New Roman"/>
                <w:lang w:eastAsia="et-EE"/>
              </w:rPr>
              <w:t xml:space="preserve">; </w:t>
            </w:r>
          </w:p>
          <w:p w:rsidR="005638C2" w:rsidRPr="003575DF" w:rsidRDefault="005638C2" w:rsidP="005638C2">
            <w:pPr>
              <w:pStyle w:val="Loendilik"/>
              <w:numPr>
                <w:ilvl w:val="0"/>
                <w:numId w:val="8"/>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 Ärakiri dokumendist, mis tõendab, et kavandatav ehitis, mida ehitatakse või kuhu inventar või seade paigaldatakse, või mootorsõiduk, kuhu seade paigaldatakse, kuulub taotleja omandisse või on antud taotlejale õiguslikul alusel kasutamiseks vähemalt viieks aastaks arvates PRIA poolt viimase toetusosa väljamaksmisest.</w:t>
            </w:r>
          </w:p>
          <w:p w:rsidR="001E33A0" w:rsidRPr="003575DF" w:rsidRDefault="001E33A0" w:rsidP="001E33A0">
            <w:pPr>
              <w:pStyle w:val="Loendilik"/>
              <w:spacing w:after="0" w:line="240" w:lineRule="auto"/>
              <w:ind w:left="1065"/>
              <w:rPr>
                <w:rFonts w:ascii="Times New Roman" w:eastAsia="Times New Roman" w:hAnsi="Times New Roman" w:cs="Times New Roman"/>
                <w:lang w:eastAsia="et-EE"/>
              </w:rPr>
            </w:pPr>
          </w:p>
          <w:p w:rsidR="005638C2" w:rsidRPr="003575DF" w:rsidRDefault="005638C2" w:rsidP="005638C2">
            <w:pPr>
              <w:spacing w:after="0" w:line="240" w:lineRule="auto"/>
              <w:rPr>
                <w:rFonts w:ascii="Times New Roman" w:eastAsia="Times New Roman" w:hAnsi="Times New Roman" w:cs="Times New Roman"/>
                <w:u w:val="single"/>
                <w:lang w:eastAsia="et-EE"/>
              </w:rPr>
            </w:pPr>
            <w:r w:rsidRPr="003575DF">
              <w:rPr>
                <w:rFonts w:ascii="Times New Roman" w:eastAsia="Times New Roman" w:hAnsi="Times New Roman" w:cs="Times New Roman"/>
                <w:u w:val="single"/>
                <w:lang w:eastAsia="et-EE"/>
              </w:rPr>
              <w:t xml:space="preserve">Lisaks peavad taotlejad esitama:                                           </w:t>
            </w:r>
          </w:p>
          <w:p w:rsidR="005638C2" w:rsidRPr="003575DF" w:rsidRDefault="005638C2" w:rsidP="009020B9">
            <w:pPr>
              <w:pStyle w:val="Loendilik"/>
              <w:numPr>
                <w:ilvl w:val="0"/>
                <w:numId w:val="9"/>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MTÜ</w:t>
            </w:r>
            <w:r w:rsidR="000F0BCC" w:rsidRPr="003575DF">
              <w:rPr>
                <w:rFonts w:ascii="Times New Roman" w:eastAsia="Times New Roman" w:hAnsi="Times New Roman" w:cs="Times New Roman"/>
                <w:lang w:eastAsia="et-EE"/>
              </w:rPr>
              <w:t xml:space="preserve"> </w:t>
            </w:r>
            <w:r w:rsidRPr="003575DF">
              <w:rPr>
                <w:rFonts w:ascii="Times New Roman" w:eastAsia="Times New Roman" w:hAnsi="Times New Roman" w:cs="Times New Roman"/>
                <w:lang w:eastAsia="et-EE"/>
              </w:rPr>
              <w:t xml:space="preserve">Võrumaa Partnerluskogu </w:t>
            </w:r>
            <w:r w:rsidR="003D049B">
              <w:rPr>
                <w:rFonts w:ascii="Times New Roman" w:eastAsia="Times New Roman" w:hAnsi="Times New Roman" w:cs="Times New Roman"/>
                <w:lang w:eastAsia="et-EE"/>
              </w:rPr>
              <w:t>vormikohase projekti kirjelduse</w:t>
            </w:r>
            <w:r w:rsidR="006D2E11" w:rsidRPr="003575DF">
              <w:rPr>
                <w:rFonts w:ascii="Times New Roman" w:eastAsia="Times New Roman" w:hAnsi="Times New Roman" w:cs="Times New Roman"/>
                <w:lang w:eastAsia="et-EE"/>
              </w:rPr>
              <w:t xml:space="preserve">; </w:t>
            </w:r>
          </w:p>
          <w:p w:rsidR="006D2E11" w:rsidRPr="003575DF" w:rsidRDefault="005638C2" w:rsidP="005638C2">
            <w:pPr>
              <w:pStyle w:val="Loendilik"/>
              <w:numPr>
                <w:ilvl w:val="0"/>
                <w:numId w:val="9"/>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Strateegia või äriplaan koos finantsprognoosiga</w:t>
            </w:r>
            <w:r w:rsidR="006D2E11" w:rsidRPr="003575DF">
              <w:rPr>
                <w:rFonts w:ascii="Times New Roman" w:eastAsia="Times New Roman" w:hAnsi="Times New Roman" w:cs="Times New Roman"/>
                <w:lang w:eastAsia="et-EE"/>
              </w:rPr>
              <w:t xml:space="preserve"> 3 järgneva majandusaasta kohta, kui taotletakse toetust kogukonnateenuse pakkumiseks;</w:t>
            </w:r>
          </w:p>
          <w:p w:rsidR="005638C2" w:rsidRPr="003575DF" w:rsidRDefault="005638C2" w:rsidP="005638C2">
            <w:pPr>
              <w:pStyle w:val="Loendilik"/>
              <w:numPr>
                <w:ilvl w:val="0"/>
                <w:numId w:val="9"/>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Organisatsiooni raamatupidamise bilanss ja kasumiaruanne</w:t>
            </w:r>
            <w:r w:rsidR="00F10165" w:rsidRPr="003575DF">
              <w:rPr>
                <w:rFonts w:ascii="Times New Roman" w:eastAsia="Times New Roman" w:hAnsi="Times New Roman" w:cs="Times New Roman"/>
                <w:lang w:eastAsia="et-EE"/>
              </w:rPr>
              <w:t xml:space="preserve"> ettevõtja puhul</w:t>
            </w:r>
            <w:r w:rsidR="006D2E11" w:rsidRPr="003575DF">
              <w:rPr>
                <w:rFonts w:ascii="Times New Roman" w:eastAsia="Times New Roman" w:hAnsi="Times New Roman" w:cs="Times New Roman"/>
                <w:lang w:eastAsia="et-EE"/>
              </w:rPr>
              <w:t>;</w:t>
            </w:r>
          </w:p>
          <w:p w:rsidR="005638C2" w:rsidRPr="003575DF" w:rsidRDefault="005638C2" w:rsidP="005638C2">
            <w:pPr>
              <w:pStyle w:val="Loendilik"/>
              <w:numPr>
                <w:ilvl w:val="0"/>
                <w:numId w:val="9"/>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Põhivara investeeringu puhul põhivara nimekiri või väljavõte vastavast põhivaragrupist</w:t>
            </w:r>
            <w:r w:rsidR="006D2E11" w:rsidRPr="003575DF">
              <w:rPr>
                <w:rFonts w:ascii="Times New Roman" w:eastAsia="Times New Roman" w:hAnsi="Times New Roman" w:cs="Times New Roman"/>
                <w:lang w:eastAsia="et-EE"/>
              </w:rPr>
              <w:t>;</w:t>
            </w:r>
          </w:p>
          <w:p w:rsidR="005638C2" w:rsidRDefault="005638C2" w:rsidP="005638C2">
            <w:pPr>
              <w:pStyle w:val="Loendilik"/>
              <w:numPr>
                <w:ilvl w:val="0"/>
                <w:numId w:val="9"/>
              </w:numPr>
              <w:spacing w:after="0" w:line="240" w:lineRule="auto"/>
              <w:rPr>
                <w:rFonts w:ascii="Times New Roman" w:eastAsia="Times New Roman" w:hAnsi="Times New Roman" w:cs="Times New Roman"/>
                <w:color w:val="000000"/>
                <w:lang w:eastAsia="et-EE"/>
              </w:rPr>
            </w:pPr>
            <w:r w:rsidRPr="006D2E11">
              <w:rPr>
                <w:rFonts w:ascii="Times New Roman" w:eastAsia="Times New Roman" w:hAnsi="Times New Roman" w:cs="Times New Roman"/>
                <w:color w:val="000000"/>
                <w:lang w:eastAsia="et-EE"/>
              </w:rPr>
              <w:t>Mitte varasema kui taotluse esitamisele vahetult eelnenud kuu esimese kuupäeva sei</w:t>
            </w:r>
            <w:r w:rsidR="006D2E11">
              <w:rPr>
                <w:rFonts w:ascii="Times New Roman" w:eastAsia="Times New Roman" w:hAnsi="Times New Roman" w:cs="Times New Roman"/>
                <w:color w:val="000000"/>
                <w:lang w:eastAsia="et-EE"/>
              </w:rPr>
              <w:t>suga MTÜ, SA liikmete nimekiri;</w:t>
            </w:r>
            <w:r w:rsidRPr="006D2E11">
              <w:rPr>
                <w:rFonts w:ascii="Times New Roman" w:eastAsia="Times New Roman" w:hAnsi="Times New Roman" w:cs="Times New Roman"/>
                <w:color w:val="000000"/>
                <w:lang w:eastAsia="et-EE"/>
              </w:rPr>
              <w:t xml:space="preserve"> </w:t>
            </w:r>
          </w:p>
          <w:p w:rsidR="005638C2" w:rsidRPr="006D2E11" w:rsidRDefault="005638C2" w:rsidP="005638C2">
            <w:pPr>
              <w:pStyle w:val="Loendilik"/>
              <w:numPr>
                <w:ilvl w:val="0"/>
                <w:numId w:val="9"/>
              </w:numPr>
              <w:spacing w:after="0" w:line="240" w:lineRule="auto"/>
              <w:rPr>
                <w:rFonts w:ascii="Times New Roman" w:eastAsia="Times New Roman" w:hAnsi="Times New Roman" w:cs="Times New Roman"/>
                <w:color w:val="000000"/>
                <w:lang w:eastAsia="et-EE"/>
              </w:rPr>
            </w:pPr>
            <w:r w:rsidRPr="006D2E11">
              <w:rPr>
                <w:rFonts w:ascii="Times New Roman" w:eastAsia="Times New Roman" w:hAnsi="Times New Roman" w:cs="Times New Roman"/>
                <w:color w:val="000000"/>
                <w:lang w:eastAsia="et-EE"/>
              </w:rPr>
              <w:t xml:space="preserve">Eelmise majandusaasta tulude jaotus, millest nähtub avaliku sektori (riigi, kohaliku omavalituse või nende ühenduse, muu avalik- õigusliku juriidilise isiku) toetuse osakaal.  </w:t>
            </w:r>
          </w:p>
          <w:p w:rsidR="00A70450" w:rsidRPr="00A70450" w:rsidRDefault="005638C2" w:rsidP="00A70450">
            <w:pPr>
              <w:spacing w:after="0" w:line="240" w:lineRule="auto"/>
              <w:rPr>
                <w:rFonts w:ascii="Times New Roman" w:eastAsia="Times New Roman" w:hAnsi="Times New Roman" w:cs="Times New Roman"/>
                <w:color w:val="000000"/>
                <w:lang w:eastAsia="et-EE"/>
              </w:rPr>
            </w:pPr>
            <w:r w:rsidRPr="005638C2">
              <w:rPr>
                <w:rFonts w:ascii="Times New Roman" w:eastAsia="Times New Roman" w:hAnsi="Times New Roman" w:cs="Times New Roman"/>
                <w:color w:val="000000"/>
                <w:lang w:eastAsia="et-EE"/>
              </w:rPr>
              <w:t>Tegevusgrupp jätab endale õiguse iga-aastaselt rakenduskava meetmelehega sätest</w:t>
            </w:r>
            <w:r w:rsidR="00A441EE">
              <w:rPr>
                <w:rFonts w:ascii="Times New Roman" w:eastAsia="Times New Roman" w:hAnsi="Times New Roman" w:cs="Times New Roman"/>
                <w:color w:val="000000"/>
                <w:lang w:eastAsia="et-EE"/>
              </w:rPr>
              <w:t>ada täiendavad nõuded.</w:t>
            </w:r>
          </w:p>
        </w:tc>
      </w:tr>
      <w:tr w:rsidR="00A70450" w:rsidRPr="00A70450" w:rsidTr="0030239D">
        <w:trPr>
          <w:trHeight w:val="300"/>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A70450" w:rsidRPr="001E33A0" w:rsidRDefault="00A70450" w:rsidP="00A70450">
            <w:pPr>
              <w:spacing w:after="0" w:line="240" w:lineRule="auto"/>
              <w:rPr>
                <w:rFonts w:ascii="Times New Roman" w:eastAsia="Times New Roman" w:hAnsi="Times New Roman" w:cs="Times New Roman"/>
                <w:b/>
                <w:color w:val="000000"/>
                <w:lang w:eastAsia="et-EE"/>
              </w:rPr>
            </w:pPr>
            <w:r w:rsidRPr="001E33A0">
              <w:rPr>
                <w:rFonts w:ascii="Times New Roman" w:eastAsia="Times New Roman" w:hAnsi="Times New Roman" w:cs="Times New Roman"/>
                <w:b/>
                <w:color w:val="000000"/>
                <w:lang w:eastAsia="et-EE"/>
              </w:rPr>
              <w:lastRenderedPageBreak/>
              <w:t xml:space="preserve">Toetuse maksimaalne suurus ja määr </w:t>
            </w:r>
          </w:p>
        </w:tc>
      </w:tr>
      <w:tr w:rsidR="00A70450" w:rsidRPr="00A70450" w:rsidTr="00A70450">
        <w:trPr>
          <w:trHeight w:val="1830"/>
        </w:trPr>
        <w:tc>
          <w:tcPr>
            <w:tcW w:w="9380" w:type="dxa"/>
            <w:tcBorders>
              <w:top w:val="single" w:sz="4" w:space="0" w:color="auto"/>
              <w:left w:val="single" w:sz="4" w:space="0" w:color="auto"/>
              <w:bottom w:val="nil"/>
              <w:right w:val="single" w:sz="4" w:space="0" w:color="000000"/>
            </w:tcBorders>
            <w:shd w:val="clear" w:color="auto" w:fill="auto"/>
            <w:hideMark/>
          </w:tcPr>
          <w:p w:rsidR="005B25C5" w:rsidRDefault="005B25C5"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Minimaalne toetuse summa taotleja kohta ühes taotlusvoorus on  </w:t>
            </w:r>
            <w:r w:rsidRPr="00E90B2E">
              <w:rPr>
                <w:rFonts w:ascii="Times New Roman" w:eastAsia="Times New Roman" w:hAnsi="Times New Roman" w:cs="Times New Roman"/>
                <w:b/>
                <w:color w:val="000000"/>
                <w:lang w:eastAsia="et-EE"/>
              </w:rPr>
              <w:t>1</w:t>
            </w:r>
            <w:r w:rsidR="00E90B2E">
              <w:rPr>
                <w:rFonts w:ascii="Times New Roman" w:eastAsia="Times New Roman" w:hAnsi="Times New Roman" w:cs="Times New Roman"/>
                <w:b/>
                <w:color w:val="000000"/>
                <w:lang w:eastAsia="et-EE"/>
              </w:rPr>
              <w:t xml:space="preserve"> </w:t>
            </w:r>
            <w:r w:rsidRPr="00E90B2E">
              <w:rPr>
                <w:rFonts w:ascii="Times New Roman" w:eastAsia="Times New Roman" w:hAnsi="Times New Roman" w:cs="Times New Roman"/>
                <w:b/>
                <w:color w:val="000000"/>
                <w:lang w:eastAsia="et-EE"/>
              </w:rPr>
              <w:t>500</w:t>
            </w:r>
            <w:r w:rsidRPr="00A70450">
              <w:rPr>
                <w:rFonts w:ascii="Times New Roman" w:eastAsia="Times New Roman" w:hAnsi="Times New Roman" w:cs="Times New Roman"/>
                <w:color w:val="000000"/>
                <w:lang w:eastAsia="et-EE"/>
              </w:rPr>
              <w:t xml:space="preserve"> eurot ja maksimaalne toetussumma ühe taotleja kohta ühes taotlusvoorus on  </w:t>
            </w:r>
            <w:r w:rsidRPr="00E90B2E">
              <w:rPr>
                <w:rFonts w:ascii="Times New Roman" w:eastAsia="Times New Roman" w:hAnsi="Times New Roman" w:cs="Times New Roman"/>
                <w:b/>
                <w:color w:val="000000"/>
                <w:lang w:eastAsia="et-EE"/>
              </w:rPr>
              <w:t>40 000</w:t>
            </w:r>
            <w:r w:rsidRPr="00A70450">
              <w:rPr>
                <w:rFonts w:ascii="Times New Roman" w:eastAsia="Times New Roman" w:hAnsi="Times New Roman" w:cs="Times New Roman"/>
                <w:color w:val="000000"/>
                <w:lang w:eastAsia="et-EE"/>
              </w:rPr>
              <w:t xml:space="preserve"> eurot. </w:t>
            </w:r>
          </w:p>
          <w:p w:rsidR="005B25C5" w:rsidRDefault="005B25C5" w:rsidP="00A70450">
            <w:pPr>
              <w:spacing w:after="0" w:line="240" w:lineRule="auto"/>
              <w:rPr>
                <w:rFonts w:ascii="Times New Roman" w:eastAsia="Times New Roman" w:hAnsi="Times New Roman" w:cs="Times New Roman"/>
                <w:color w:val="000000"/>
                <w:lang w:eastAsia="et-EE"/>
              </w:rPr>
            </w:pPr>
          </w:p>
          <w:p w:rsidR="00F16889" w:rsidRDefault="00F16889" w:rsidP="00A70450">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MTÜ, SA, ettevõtjad ja k</w:t>
            </w:r>
            <w:r w:rsidR="00A70450" w:rsidRPr="00A70450">
              <w:rPr>
                <w:rFonts w:ascii="Times New Roman" w:eastAsia="Times New Roman" w:hAnsi="Times New Roman" w:cs="Times New Roman"/>
                <w:color w:val="000000"/>
                <w:lang w:eastAsia="et-EE"/>
              </w:rPr>
              <w:t xml:space="preserve">ohalik omavalitusüksus toetuse määr kuni 90% abikõlblikest kuludest. </w:t>
            </w:r>
          </w:p>
          <w:p w:rsidR="00F16889" w:rsidRDefault="00F16889" w:rsidP="00F16889">
            <w:pPr>
              <w:spacing w:after="0" w:line="240" w:lineRule="auto"/>
              <w:rPr>
                <w:rFonts w:ascii="Times New Roman" w:eastAsia="Times New Roman" w:hAnsi="Times New Roman" w:cs="Times New Roman"/>
                <w:color w:val="365F91" w:themeColor="accent1" w:themeShade="BF"/>
                <w:lang w:eastAsia="et-EE"/>
              </w:rPr>
            </w:pPr>
          </w:p>
          <w:p w:rsidR="00F16889" w:rsidRPr="00B02484" w:rsidRDefault="00F16889" w:rsidP="00F16889">
            <w:p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 xml:space="preserve">Kogukonnateenuse arendamiseks antakse projektitoetust kuni 90 % investeeringu abikõlbulikest kuludest, kui projektitaotlus on vastu võetud kohaliku tegevusgrupi üldkoosoleku otsusega. </w:t>
            </w:r>
          </w:p>
          <w:p w:rsidR="00F16889" w:rsidRDefault="00F16889" w:rsidP="00A70450">
            <w:pPr>
              <w:spacing w:after="0" w:line="240" w:lineRule="auto"/>
              <w:rPr>
                <w:rFonts w:ascii="Times New Roman" w:eastAsia="Times New Roman" w:hAnsi="Times New Roman" w:cs="Times New Roman"/>
                <w:color w:val="000000"/>
                <w:lang w:eastAsia="et-EE"/>
              </w:rPr>
            </w:pPr>
          </w:p>
          <w:p w:rsidR="00F16889" w:rsidRDefault="00F16889" w:rsidP="00A70450">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 xml:space="preserve">Taristuinvesteeringu </w:t>
            </w:r>
            <w:r w:rsidR="00AC7DF3">
              <w:rPr>
                <w:rFonts w:ascii="Times New Roman" w:eastAsia="Times New Roman" w:hAnsi="Times New Roman" w:cs="Times New Roman"/>
                <w:color w:val="000000"/>
                <w:lang w:eastAsia="et-EE"/>
              </w:rPr>
              <w:t xml:space="preserve">(sh liitumistasu) </w:t>
            </w:r>
            <w:r w:rsidR="00A70450" w:rsidRPr="00A70450">
              <w:rPr>
                <w:rFonts w:ascii="Times New Roman" w:eastAsia="Times New Roman" w:hAnsi="Times New Roman" w:cs="Times New Roman"/>
                <w:color w:val="000000"/>
                <w:lang w:eastAsia="et-EE"/>
              </w:rPr>
              <w:t xml:space="preserve">toetuse taotlemisel on toetuse määr 60% abikõlblikest kuludest, välja arvatud </w:t>
            </w:r>
            <w:r w:rsidR="00AC7DF3">
              <w:rPr>
                <w:rFonts w:ascii="Times New Roman" w:eastAsia="Times New Roman" w:hAnsi="Times New Roman" w:cs="Times New Roman"/>
                <w:color w:val="000000"/>
                <w:lang w:eastAsia="et-EE"/>
              </w:rPr>
              <w:t xml:space="preserve"> uue põlvkonna elektroonilise side juurdepääsuvõrgu tegemiseks </w:t>
            </w:r>
            <w:r w:rsidR="00A70450" w:rsidRPr="00A70450">
              <w:rPr>
                <w:rFonts w:ascii="Times New Roman" w:eastAsia="Times New Roman" w:hAnsi="Times New Roman" w:cs="Times New Roman"/>
                <w:color w:val="000000"/>
                <w:lang w:eastAsia="et-EE"/>
              </w:rPr>
              <w:t xml:space="preserve">on </w:t>
            </w:r>
            <w:r w:rsidR="00AC7DF3">
              <w:rPr>
                <w:rFonts w:ascii="Times New Roman" w:eastAsia="Times New Roman" w:hAnsi="Times New Roman" w:cs="Times New Roman"/>
                <w:color w:val="000000"/>
                <w:lang w:eastAsia="et-EE"/>
              </w:rPr>
              <w:t xml:space="preserve">toetuse määr </w:t>
            </w:r>
            <w:r w:rsidR="00A70450" w:rsidRPr="00A70450">
              <w:rPr>
                <w:rFonts w:ascii="Times New Roman" w:eastAsia="Times New Roman" w:hAnsi="Times New Roman" w:cs="Times New Roman"/>
                <w:color w:val="000000"/>
                <w:lang w:eastAsia="et-EE"/>
              </w:rPr>
              <w:t xml:space="preserve">90% abikõlbulikest kuludest. </w:t>
            </w:r>
          </w:p>
          <w:p w:rsidR="00AC7DF3" w:rsidRDefault="00AC7DF3" w:rsidP="00A70450">
            <w:pPr>
              <w:spacing w:after="0" w:line="240" w:lineRule="auto"/>
              <w:rPr>
                <w:rFonts w:ascii="Times New Roman" w:eastAsia="Times New Roman" w:hAnsi="Times New Roman" w:cs="Times New Roman"/>
                <w:color w:val="000000"/>
                <w:lang w:eastAsia="et-EE"/>
              </w:rPr>
            </w:pPr>
          </w:p>
          <w:p w:rsidR="00F16889" w:rsidRPr="003B3692" w:rsidRDefault="00AC7DF3" w:rsidP="00A70450">
            <w:pPr>
              <w:spacing w:after="0" w:line="240" w:lineRule="auto"/>
              <w:rPr>
                <w:rFonts w:ascii="Times New Roman" w:eastAsia="Times New Roman" w:hAnsi="Times New Roman" w:cs="Times New Roman"/>
                <w:lang w:eastAsia="et-EE"/>
              </w:rPr>
            </w:pPr>
            <w:r w:rsidRPr="003B3692">
              <w:rPr>
                <w:rFonts w:ascii="Times New Roman" w:eastAsia="Times New Roman" w:hAnsi="Times New Roman" w:cs="Times New Roman"/>
                <w:lang w:eastAsia="et-EE"/>
              </w:rPr>
              <w:t>Projektitoetust antakse ettevõtjale kuni 60% toetatava tegevuse või investeeringu abikõlblikest kuludest. MTÜ, SA või kohalikule omavalitsusele antakse projektitoetust kuni 60 % toetatava tegevuse või abikõlbulike kuludest, kui projektis kavandatud tegevused on suunatud ettevõtluse arendamiseks.</w:t>
            </w:r>
          </w:p>
          <w:p w:rsidR="00EC0D95" w:rsidRPr="003B3692" w:rsidRDefault="00EC0D95" w:rsidP="00A70450">
            <w:pPr>
              <w:spacing w:after="0" w:line="240" w:lineRule="auto"/>
              <w:rPr>
                <w:rFonts w:ascii="Times New Roman" w:eastAsia="Times New Roman" w:hAnsi="Times New Roman" w:cs="Times New Roman"/>
                <w:lang w:eastAsia="et-EE"/>
              </w:rPr>
            </w:pPr>
          </w:p>
          <w:p w:rsidR="00EC0D95" w:rsidRPr="003B3692" w:rsidRDefault="00EC0D95" w:rsidP="00A70450">
            <w:pPr>
              <w:spacing w:after="0" w:line="240" w:lineRule="auto"/>
              <w:rPr>
                <w:rFonts w:ascii="Times New Roman" w:eastAsia="Times New Roman" w:hAnsi="Times New Roman" w:cs="Times New Roman"/>
                <w:lang w:eastAsia="et-EE"/>
              </w:rPr>
            </w:pPr>
            <w:r w:rsidRPr="003B3692">
              <w:rPr>
                <w:rFonts w:ascii="Times New Roman" w:eastAsia="Times New Roman" w:hAnsi="Times New Roman" w:cs="Times New Roman"/>
                <w:lang w:eastAsia="et-EE"/>
              </w:rPr>
              <w:t xml:space="preserve">Mootorsõiduki ja maastikusõiduki ostmiseks ja liisimiseks projektitoetuse taotlemise korral antakse ettevõtjale, MTÜ-le ja SA-le projektitoetust kuni 30 % investeeringuobjekti abikõlblikest kuludest. </w:t>
            </w:r>
          </w:p>
          <w:p w:rsidR="005B25C5" w:rsidRDefault="005B25C5" w:rsidP="00A70450">
            <w:pPr>
              <w:spacing w:after="0" w:line="240" w:lineRule="auto"/>
              <w:rPr>
                <w:rFonts w:ascii="Times New Roman" w:eastAsia="Times New Roman" w:hAnsi="Times New Roman" w:cs="Times New Roman"/>
                <w:color w:val="000000"/>
                <w:lang w:eastAsia="et-EE"/>
              </w:rPr>
            </w:pPr>
          </w:p>
          <w:p w:rsidR="005B25C5" w:rsidRPr="003575DF" w:rsidRDefault="005B25C5" w:rsidP="005B25C5">
            <w:pPr>
              <w:pStyle w:val="Normaallaadveeb"/>
              <w:spacing w:after="120"/>
              <w:jc w:val="both"/>
              <w:rPr>
                <w:rFonts w:cs="Times New Roman"/>
                <w:sz w:val="22"/>
                <w:szCs w:val="22"/>
                <w:lang w:val="et-EE"/>
              </w:rPr>
            </w:pPr>
            <w:r w:rsidRPr="003575DF">
              <w:rPr>
                <w:rFonts w:cs="Times New Roman"/>
                <w:sz w:val="22"/>
                <w:szCs w:val="22"/>
                <w:lang w:val="et-EE"/>
              </w:rPr>
              <w:lastRenderedPageBreak/>
              <w:t>Vastavalt maaelu ministri määruse 23.10.2015 nr 11 „Kohaliku tegevusgrupi toetus ja LEADER projektitoetus“ §35 alusel:</w:t>
            </w:r>
          </w:p>
          <w:p w:rsidR="005B25C5" w:rsidRPr="003575DF" w:rsidRDefault="005B25C5" w:rsidP="005B25C5">
            <w:p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MTÜ või SA projektitoetuse taotleja omafinantseeringu osaks võib Euroopa Parlamendi ja nõukogu määruse (EL) nr 1305/2013 artikli 61 lõike 3 alusel olla mitterahaline omafinantseering. Mitterahaline omafinantseering on tegevuse elluviimiseks või investeeringu tegemiseks vajalik projektitoetuse taotleja tehtud vabatahtlik tasustamata töö.</w:t>
            </w:r>
          </w:p>
          <w:p w:rsidR="005B25C5" w:rsidRPr="003575DF" w:rsidRDefault="005B25C5" w:rsidP="005B25C5">
            <w:pPr>
              <w:pStyle w:val="Loendilik"/>
              <w:numPr>
                <w:ilvl w:val="0"/>
                <w:numId w:val="12"/>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 xml:space="preserve">Mitte rahaline omafinantseering võib moodustada kuni 9 % mitterahalise omafinantseeringuga seotut toetatava tegevuse või investeeringu abikõlbulikest kuludest. </w:t>
            </w:r>
          </w:p>
          <w:p w:rsidR="005B25C5" w:rsidRDefault="005B25C5" w:rsidP="005B25C5">
            <w:pPr>
              <w:pStyle w:val="Loendilik"/>
              <w:numPr>
                <w:ilvl w:val="0"/>
                <w:numId w:val="12"/>
              </w:numPr>
              <w:spacing w:after="0" w:line="240" w:lineRule="auto"/>
              <w:rPr>
                <w:rFonts w:ascii="Times New Roman" w:eastAsia="Times New Roman" w:hAnsi="Times New Roman" w:cs="Times New Roman"/>
                <w:lang w:eastAsia="et-EE"/>
              </w:rPr>
            </w:pPr>
            <w:r w:rsidRPr="003575DF">
              <w:rPr>
                <w:rFonts w:ascii="Times New Roman" w:eastAsia="Times New Roman" w:hAnsi="Times New Roman" w:cs="Times New Roman"/>
                <w:lang w:eastAsia="et-EE"/>
              </w:rPr>
              <w:t>Vabatahtliku tasustamata töö tegemise korral on vabatahtliku tasustamata töö tegija tunnitasu määr kuni 4 eurot ning masinat, seadet või mootorsõidukit kasutades kuni 8 eurot.</w:t>
            </w:r>
          </w:p>
          <w:p w:rsidR="004821C0" w:rsidRPr="003D049B" w:rsidRDefault="004821C0" w:rsidP="004821C0">
            <w:pPr>
              <w:spacing w:after="0" w:line="240" w:lineRule="auto"/>
              <w:rPr>
                <w:rFonts w:ascii="Times New Roman" w:eastAsia="Times New Roman" w:hAnsi="Times New Roman" w:cs="Times New Roman"/>
                <w:lang w:eastAsia="et-EE"/>
              </w:rPr>
            </w:pPr>
            <w:r w:rsidRPr="003D049B">
              <w:rPr>
                <w:rFonts w:ascii="Times New Roman" w:eastAsia="Times New Roman" w:hAnsi="Times New Roman" w:cs="Times New Roman"/>
              </w:rPr>
              <w:t xml:space="preserve">Projektitoetuse määra ja suuruse määramisel arvestatakse </w:t>
            </w:r>
            <w:proofErr w:type="spellStart"/>
            <w:r w:rsidRPr="003D049B">
              <w:rPr>
                <w:rFonts w:ascii="Times New Roman" w:eastAsia="Times New Roman" w:hAnsi="Times New Roman" w:cs="Times New Roman"/>
              </w:rPr>
              <w:t>Leader</w:t>
            </w:r>
            <w:proofErr w:type="spellEnd"/>
            <w:r w:rsidRPr="003D049B">
              <w:rPr>
                <w:rFonts w:ascii="Times New Roman" w:eastAsia="Times New Roman" w:hAnsi="Times New Roman" w:cs="Times New Roman"/>
              </w:rPr>
              <w:t xml:space="preserve"> määruses, arengukavas ning Euroopa Parlamendi ja nõukogu määruses (EL)  nr 1305/2013 maaelu arengu toetuse kohta sätestatud nõuetega ning riigiabi reeglitest tulenevate piirangutega.</w:t>
            </w:r>
          </w:p>
          <w:p w:rsidR="00A70450" w:rsidRPr="00852916" w:rsidRDefault="00A70450" w:rsidP="00852916">
            <w:pPr>
              <w:spacing w:after="0" w:line="240" w:lineRule="auto"/>
              <w:rPr>
                <w:rFonts w:ascii="Times New Roman" w:eastAsia="Times New Roman" w:hAnsi="Times New Roman" w:cs="Times New Roman"/>
                <w:b/>
                <w:color w:val="000000"/>
                <w:lang w:eastAsia="et-EE"/>
              </w:rPr>
            </w:pPr>
          </w:p>
        </w:tc>
      </w:tr>
      <w:tr w:rsidR="00A70450" w:rsidRPr="00A70450" w:rsidTr="0030239D">
        <w:trPr>
          <w:trHeight w:val="300"/>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A70450" w:rsidRPr="001E33A0" w:rsidRDefault="00A70450" w:rsidP="00A70450">
            <w:pPr>
              <w:spacing w:after="0" w:line="240" w:lineRule="auto"/>
              <w:rPr>
                <w:rFonts w:ascii="Times New Roman" w:eastAsia="Times New Roman" w:hAnsi="Times New Roman" w:cs="Times New Roman"/>
                <w:b/>
                <w:lang w:eastAsia="et-EE"/>
              </w:rPr>
            </w:pPr>
            <w:r w:rsidRPr="001E33A0">
              <w:rPr>
                <w:rFonts w:ascii="Times New Roman" w:eastAsia="Times New Roman" w:hAnsi="Times New Roman" w:cs="Times New Roman"/>
                <w:b/>
                <w:lang w:eastAsia="et-EE"/>
              </w:rPr>
              <w:lastRenderedPageBreak/>
              <w:t xml:space="preserve">Viide sihtvaldkonnale </w:t>
            </w:r>
          </w:p>
        </w:tc>
      </w:tr>
      <w:tr w:rsidR="00A70450" w:rsidRPr="00A70450" w:rsidTr="00F16889">
        <w:trPr>
          <w:trHeight w:val="874"/>
        </w:trPr>
        <w:tc>
          <w:tcPr>
            <w:tcW w:w="9380" w:type="dxa"/>
            <w:tcBorders>
              <w:top w:val="single" w:sz="4" w:space="0" w:color="auto"/>
              <w:left w:val="single" w:sz="4" w:space="0" w:color="auto"/>
              <w:bottom w:val="nil"/>
              <w:right w:val="single" w:sz="4" w:space="0" w:color="000000"/>
            </w:tcBorders>
            <w:shd w:val="clear" w:color="auto" w:fill="auto"/>
            <w:hideMark/>
          </w:tcPr>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6B maapiirkondade kohaliku arengu soodustamine,                                                                                                                                                                                                                                 6C info- ja kommunikatsioonitehnoloogia kättesaadavuse, kasutamise ja kvaliteedi parandamine maapiirkondades</w:t>
            </w:r>
          </w:p>
        </w:tc>
      </w:tr>
      <w:tr w:rsidR="00A70450" w:rsidRPr="00A70450" w:rsidTr="0030239D">
        <w:trPr>
          <w:trHeight w:val="705"/>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A70450" w:rsidRPr="001E33A0" w:rsidRDefault="00A70450" w:rsidP="00A70450">
            <w:pPr>
              <w:spacing w:after="0" w:line="240" w:lineRule="auto"/>
              <w:rPr>
                <w:rFonts w:ascii="Times New Roman" w:eastAsia="Times New Roman" w:hAnsi="Times New Roman" w:cs="Times New Roman"/>
                <w:b/>
                <w:color w:val="000000"/>
                <w:lang w:eastAsia="et-EE"/>
              </w:rPr>
            </w:pPr>
            <w:r w:rsidRPr="001E33A0">
              <w:rPr>
                <w:rFonts w:ascii="Times New Roman" w:eastAsia="Times New Roman" w:hAnsi="Times New Roman" w:cs="Times New Roman"/>
                <w:b/>
                <w:color w:val="000000"/>
                <w:lang w:eastAsia="et-EE"/>
              </w:rPr>
              <w:t>Euroopa Parlamendi ja nõukogu määruse (EL) nr 1305/2013 artiklis 5 nimetatud prioriteedid, mille eesmärkide saavutamisele strateegia meetme rakendamine enim kaasa aitab</w:t>
            </w:r>
            <w:r w:rsidRPr="001E33A0">
              <w:rPr>
                <w:rFonts w:ascii="Times New Roman" w:eastAsia="Times New Roman" w:hAnsi="Times New Roman" w:cs="Times New Roman"/>
                <w:b/>
                <w:color w:val="000000"/>
                <w:vertAlign w:val="superscript"/>
                <w:lang w:eastAsia="et-EE"/>
              </w:rPr>
              <w:t>3</w:t>
            </w:r>
          </w:p>
        </w:tc>
      </w:tr>
      <w:tr w:rsidR="00A70450" w:rsidRPr="00A70450" w:rsidTr="00AC7DF3">
        <w:trPr>
          <w:trHeight w:val="837"/>
        </w:trPr>
        <w:tc>
          <w:tcPr>
            <w:tcW w:w="9380" w:type="dxa"/>
            <w:tcBorders>
              <w:top w:val="single" w:sz="4" w:space="0" w:color="auto"/>
              <w:left w:val="single" w:sz="4" w:space="0" w:color="auto"/>
              <w:bottom w:val="nil"/>
              <w:right w:val="single" w:sz="4" w:space="0" w:color="000000"/>
            </w:tcBorders>
            <w:shd w:val="clear" w:color="auto" w:fill="auto"/>
            <w:hideMark/>
          </w:tcPr>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u w:val="single"/>
                <w:lang w:eastAsia="et-EE"/>
              </w:rPr>
              <w:t>Prioriteet nr 6</w:t>
            </w:r>
            <w:r w:rsidRPr="00A70450">
              <w:rPr>
                <w:rFonts w:ascii="Times New Roman" w:eastAsia="Times New Roman" w:hAnsi="Times New Roman" w:cs="Times New Roman"/>
                <w:color w:val="000000"/>
                <w:lang w:eastAsia="et-EE"/>
              </w:rPr>
              <w:t>- sotsiaalse kaasamise, vaesuse vähendamise ja maapiirkondade majandusliku arengu edendamine, keskendudes järgmistele valdkondadele: b),</w:t>
            </w:r>
            <w:r w:rsidR="00AC7DF3">
              <w:rPr>
                <w:rFonts w:ascii="Times New Roman" w:eastAsia="Times New Roman" w:hAnsi="Times New Roman" w:cs="Times New Roman"/>
                <w:color w:val="000000"/>
                <w:lang w:eastAsia="et-EE"/>
              </w:rPr>
              <w:t xml:space="preserve"> </w:t>
            </w:r>
            <w:r w:rsidRPr="00A70450">
              <w:rPr>
                <w:rFonts w:ascii="Times New Roman" w:eastAsia="Times New Roman" w:hAnsi="Times New Roman" w:cs="Times New Roman"/>
                <w:color w:val="000000"/>
                <w:lang w:eastAsia="et-EE"/>
              </w:rPr>
              <w:t xml:space="preserve">c).                                                                </w:t>
            </w:r>
            <w:r w:rsidR="00AC7DF3">
              <w:rPr>
                <w:rFonts w:ascii="Times New Roman" w:eastAsia="Times New Roman" w:hAnsi="Times New Roman" w:cs="Times New Roman"/>
                <w:color w:val="000000"/>
                <w:lang w:eastAsia="et-EE"/>
              </w:rPr>
              <w:t>Lisaks aitab meetme</w:t>
            </w:r>
            <w:r w:rsidRPr="00A70450">
              <w:rPr>
                <w:rFonts w:ascii="Times New Roman" w:eastAsia="Times New Roman" w:hAnsi="Times New Roman" w:cs="Times New Roman"/>
                <w:color w:val="000000"/>
                <w:lang w:eastAsia="et-EE"/>
              </w:rPr>
              <w:t xml:space="preserve"> kaasa artikkel 20 eesmärkide </w:t>
            </w:r>
            <w:r w:rsidR="00AC7DF3" w:rsidRPr="00A70450">
              <w:rPr>
                <w:rFonts w:ascii="Times New Roman" w:eastAsia="Times New Roman" w:hAnsi="Times New Roman" w:cs="Times New Roman"/>
                <w:color w:val="000000"/>
                <w:lang w:eastAsia="et-EE"/>
              </w:rPr>
              <w:t>saavutamisele</w:t>
            </w:r>
          </w:p>
        </w:tc>
      </w:tr>
      <w:tr w:rsidR="00A70450" w:rsidRPr="00A70450" w:rsidTr="0030239D">
        <w:trPr>
          <w:trHeight w:val="300"/>
        </w:trPr>
        <w:tc>
          <w:tcPr>
            <w:tcW w:w="9380" w:type="dxa"/>
            <w:tcBorders>
              <w:top w:val="single" w:sz="4" w:space="0" w:color="auto"/>
              <w:left w:val="single" w:sz="4" w:space="0" w:color="auto"/>
              <w:bottom w:val="nil"/>
              <w:right w:val="single" w:sz="4" w:space="0" w:color="000000"/>
            </w:tcBorders>
            <w:shd w:val="clear" w:color="auto" w:fill="76923C" w:themeFill="accent3" w:themeFillShade="BF"/>
            <w:hideMark/>
          </w:tcPr>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Viide arengukava meetmele, kui strateegia meede sellega kattub</w:t>
            </w:r>
          </w:p>
        </w:tc>
      </w:tr>
      <w:tr w:rsidR="00A70450" w:rsidRPr="00A70450" w:rsidTr="00AC7DF3">
        <w:trPr>
          <w:trHeight w:val="371"/>
        </w:trPr>
        <w:tc>
          <w:tcPr>
            <w:tcW w:w="9380" w:type="dxa"/>
            <w:tcBorders>
              <w:top w:val="single" w:sz="4" w:space="0" w:color="auto"/>
              <w:left w:val="single" w:sz="4" w:space="0" w:color="auto"/>
              <w:bottom w:val="nil"/>
              <w:right w:val="single" w:sz="4" w:space="0" w:color="000000"/>
            </w:tcBorders>
            <w:shd w:val="clear" w:color="auto" w:fill="auto"/>
            <w:hideMark/>
          </w:tcPr>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w:t>
            </w:r>
            <w:r w:rsidR="00EC0D95">
              <w:rPr>
                <w:rFonts w:ascii="Times New Roman" w:eastAsia="Times New Roman" w:hAnsi="Times New Roman" w:cs="Times New Roman"/>
                <w:color w:val="000000"/>
                <w:lang w:eastAsia="et-EE"/>
              </w:rPr>
              <w:t>Ei kattu</w:t>
            </w:r>
          </w:p>
        </w:tc>
      </w:tr>
      <w:tr w:rsidR="00A70450" w:rsidRPr="00A70450" w:rsidTr="0030239D">
        <w:trPr>
          <w:trHeight w:val="300"/>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Strateegia meetme indikaatorid ja sihttasemed</w:t>
            </w:r>
          </w:p>
        </w:tc>
      </w:tr>
      <w:tr w:rsidR="00A70450" w:rsidRPr="00A70450" w:rsidTr="00AC7DF3">
        <w:trPr>
          <w:trHeight w:val="820"/>
        </w:trPr>
        <w:tc>
          <w:tcPr>
            <w:tcW w:w="9380" w:type="dxa"/>
            <w:tcBorders>
              <w:top w:val="single" w:sz="4" w:space="0" w:color="auto"/>
              <w:left w:val="single" w:sz="4" w:space="0" w:color="auto"/>
              <w:bottom w:val="nil"/>
              <w:right w:val="single" w:sz="4" w:space="0" w:color="000000"/>
            </w:tcBorders>
            <w:shd w:val="clear" w:color="auto" w:fill="auto"/>
            <w:hideMark/>
          </w:tcPr>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Väljundnäitajad: ( eesmärk 2015-2020)                                                                                                                                                                                                                                                  1) Toetuse saanud projektide arv 50;                                                                                                                                                                                                                                                      2) Kasusaavate elanike arv 30 000                                                                                                                                         </w:t>
            </w:r>
          </w:p>
        </w:tc>
      </w:tr>
      <w:tr w:rsidR="00A70450" w:rsidRPr="00A70450" w:rsidTr="0030239D">
        <w:trPr>
          <w:trHeight w:val="300"/>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Projektitoetuse taotluste hindamiskriteeriumid </w:t>
            </w:r>
          </w:p>
        </w:tc>
      </w:tr>
      <w:tr w:rsidR="00A70450" w:rsidRPr="00A70450" w:rsidTr="00A70450">
        <w:trPr>
          <w:trHeight w:val="1515"/>
        </w:trPr>
        <w:tc>
          <w:tcPr>
            <w:tcW w:w="9380" w:type="dxa"/>
            <w:tcBorders>
              <w:top w:val="single" w:sz="4" w:space="0" w:color="auto"/>
              <w:left w:val="single" w:sz="4" w:space="0" w:color="auto"/>
              <w:bottom w:val="single" w:sz="4" w:space="0" w:color="auto"/>
              <w:right w:val="single" w:sz="4" w:space="0" w:color="000000"/>
            </w:tcBorders>
            <w:shd w:val="clear" w:color="auto" w:fill="auto"/>
            <w:hideMark/>
          </w:tcPr>
          <w:p w:rsidR="00852916"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Hindamine toimub järgneva hindamisskaala alusel täisarvudes: 0- puudulik; 1- nõrk; 2- keskpärane; 3- hea; 4- väga hea. </w:t>
            </w:r>
          </w:p>
          <w:p w:rsidR="00852916"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Hindamiskriteeriumid: </w:t>
            </w:r>
          </w:p>
          <w:p w:rsidR="00852916"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1) Projekti prioriteetsus ( osakaal 35%) </w:t>
            </w:r>
          </w:p>
          <w:p w:rsidR="00852916"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2) Projekti mõju </w:t>
            </w:r>
            <w:proofErr w:type="spellStart"/>
            <w:r w:rsidRPr="00A70450">
              <w:rPr>
                <w:rFonts w:ascii="Times New Roman" w:eastAsia="Times New Roman" w:hAnsi="Times New Roman" w:cs="Times New Roman"/>
                <w:color w:val="000000"/>
                <w:lang w:eastAsia="et-EE"/>
              </w:rPr>
              <w:t>Leader</w:t>
            </w:r>
            <w:proofErr w:type="spellEnd"/>
            <w:r w:rsidRPr="00A70450">
              <w:rPr>
                <w:rFonts w:ascii="Times New Roman" w:eastAsia="Times New Roman" w:hAnsi="Times New Roman" w:cs="Times New Roman"/>
                <w:color w:val="000000"/>
                <w:lang w:eastAsia="et-EE"/>
              </w:rPr>
              <w:t xml:space="preserve"> programmi eesmärkide saavutamisele ( osakaal 25%) </w:t>
            </w:r>
          </w:p>
          <w:p w:rsidR="00852916"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3) Projekti jätkusuutlikkus ( osakaal 20%) </w:t>
            </w:r>
          </w:p>
          <w:p w:rsidR="00852916"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 xml:space="preserve">4) Projekti ettevalmistuse kvaliteet ( osakaal 15%) </w:t>
            </w:r>
          </w:p>
          <w:p w:rsidR="00A70450" w:rsidRPr="00A70450" w:rsidRDefault="00A70450" w:rsidP="00A70450">
            <w:pPr>
              <w:spacing w:after="0" w:line="240" w:lineRule="auto"/>
              <w:rPr>
                <w:rFonts w:ascii="Times New Roman" w:eastAsia="Times New Roman" w:hAnsi="Times New Roman" w:cs="Times New Roman"/>
                <w:color w:val="000000"/>
                <w:lang w:eastAsia="et-EE"/>
              </w:rPr>
            </w:pPr>
            <w:r w:rsidRPr="00A70450">
              <w:rPr>
                <w:rFonts w:ascii="Times New Roman" w:eastAsia="Times New Roman" w:hAnsi="Times New Roman" w:cs="Times New Roman"/>
                <w:color w:val="000000"/>
                <w:lang w:eastAsia="et-EE"/>
              </w:rPr>
              <w:t>5) Taotleja suutlikkus ja eelnev kogemus projekti elluviimisel, eelarve põhjendatus ( osakaal 5%)</w:t>
            </w:r>
          </w:p>
        </w:tc>
      </w:tr>
      <w:tr w:rsidR="005430C1" w:rsidRPr="00A70450" w:rsidTr="0030239D">
        <w:trPr>
          <w:trHeight w:val="291"/>
        </w:trPr>
        <w:tc>
          <w:tcPr>
            <w:tcW w:w="9380" w:type="dxa"/>
            <w:tcBorders>
              <w:top w:val="single" w:sz="4" w:space="0" w:color="auto"/>
              <w:left w:val="single" w:sz="4" w:space="0" w:color="auto"/>
              <w:bottom w:val="single" w:sz="4" w:space="0" w:color="auto"/>
              <w:right w:val="single" w:sz="4" w:space="0" w:color="000000"/>
            </w:tcBorders>
            <w:shd w:val="clear" w:color="auto" w:fill="76923C" w:themeFill="accent3" w:themeFillShade="BF"/>
          </w:tcPr>
          <w:p w:rsidR="005430C1" w:rsidRPr="00A70450" w:rsidRDefault="005430C1" w:rsidP="00A70450">
            <w:pPr>
              <w:spacing w:after="0" w:line="240" w:lineRule="auto"/>
              <w:rPr>
                <w:rFonts w:ascii="Times New Roman" w:eastAsia="Times New Roman" w:hAnsi="Times New Roman" w:cs="Times New Roman"/>
                <w:color w:val="000000"/>
                <w:lang w:eastAsia="et-EE"/>
              </w:rPr>
            </w:pPr>
            <w:r w:rsidRPr="005B6ECB">
              <w:rPr>
                <w:rFonts w:ascii="Times New Roman" w:eastAsia="Times New Roman" w:hAnsi="Times New Roman" w:cs="Times New Roman"/>
                <w:b/>
                <w:color w:val="000000"/>
                <w:lang w:eastAsia="et-EE"/>
              </w:rPr>
              <w:t>Projektitoetuse saaja kohustused</w:t>
            </w:r>
          </w:p>
        </w:tc>
      </w:tr>
      <w:tr w:rsidR="00B02484" w:rsidRPr="00B02484" w:rsidTr="00A70450">
        <w:trPr>
          <w:trHeight w:val="1515"/>
        </w:trPr>
        <w:tc>
          <w:tcPr>
            <w:tcW w:w="9380" w:type="dxa"/>
            <w:tcBorders>
              <w:top w:val="single" w:sz="4" w:space="0" w:color="auto"/>
              <w:left w:val="single" w:sz="4" w:space="0" w:color="auto"/>
              <w:bottom w:val="single" w:sz="4" w:space="0" w:color="auto"/>
              <w:right w:val="single" w:sz="4" w:space="0" w:color="000000"/>
            </w:tcBorders>
            <w:shd w:val="clear" w:color="auto" w:fill="auto"/>
          </w:tcPr>
          <w:p w:rsidR="005430C1" w:rsidRPr="00B02484" w:rsidRDefault="005430C1" w:rsidP="005430C1">
            <w:pPr>
              <w:pStyle w:val="Normaallaadveeb"/>
              <w:spacing w:after="120"/>
              <w:jc w:val="both"/>
              <w:rPr>
                <w:rFonts w:cs="Times New Roman"/>
                <w:sz w:val="22"/>
                <w:szCs w:val="22"/>
                <w:lang w:val="et-EE"/>
              </w:rPr>
            </w:pPr>
            <w:r w:rsidRPr="00B02484">
              <w:rPr>
                <w:rFonts w:cs="Times New Roman"/>
                <w:sz w:val="22"/>
                <w:szCs w:val="22"/>
                <w:lang w:val="et-EE"/>
              </w:rPr>
              <w:t>Vastavalt maaelu ministri määruse 23.10.2015 nr 11 „Kohaliku tegevusgrupi toetus ja LEADER projektitoetus“ §42 alusel:</w:t>
            </w:r>
          </w:p>
          <w:p w:rsidR="005430C1" w:rsidRPr="00B02484" w:rsidRDefault="005430C1" w:rsidP="005430C1">
            <w:pPr>
              <w:pStyle w:val="Loendilik"/>
              <w:numPr>
                <w:ilvl w:val="0"/>
                <w:numId w:val="10"/>
              </w:numPr>
              <w:spacing w:after="0" w:line="240" w:lineRule="auto"/>
              <w:rPr>
                <w:rFonts w:ascii="Times New Roman" w:eastAsia="Times New Roman" w:hAnsi="Times New Roman" w:cs="Times New Roman"/>
                <w:lang w:eastAsia="et-EE"/>
              </w:rPr>
            </w:pPr>
            <w:r w:rsidRPr="00B02484">
              <w:rPr>
                <w:rFonts w:ascii="Times New Roman" w:hAnsi="Times New Roman" w:cs="Times New Roman"/>
              </w:rPr>
              <w:t xml:space="preserve">Projektitoetuse saaja viib ellu toetatava tegevuse või teeb investeeringu ja esitab PRIAle </w:t>
            </w:r>
            <w:r w:rsidRPr="00B02484">
              <w:rPr>
                <w:rFonts w:ascii="Times New Roman" w:eastAsia="Times New Roman" w:hAnsi="Times New Roman" w:cs="Times New Roman"/>
                <w:lang w:eastAsia="et-EE"/>
              </w:rPr>
              <w:t>elektrooniliselt PRIA e-teenuse keskkonna kaudu selle tegevuse elluviimist või investeeringu tegemist tõendavad dokumendid kuni neljas osas ühe projektitaotluse kohta kahe aasta jooksul arvates PRIA poolt projektitaotluse rahuldamise otsuse tegemisest, kuid hiljemalt 31. detsembril 2022.</w:t>
            </w:r>
          </w:p>
          <w:p w:rsidR="005430C1" w:rsidRPr="00B02484" w:rsidRDefault="005430C1" w:rsidP="005430C1">
            <w:pPr>
              <w:pStyle w:val="Loendilik"/>
              <w:numPr>
                <w:ilvl w:val="0"/>
                <w:numId w:val="10"/>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 xml:space="preserve">Projektitoetuse saaja viib ellu § 28 lõike 3 punktis 2 nimetatud ühisprojektis kavandatud tegevuse või teeb investeeringu ja esitab PRIAle elektrooniliselt PRIA e-teenuse keskkonna kaudu selle tegevuse elluviimist või investeeringu tegemist tõendavad dokumendid kalendriaastas kuni neljas osas ühe taotluse kohta kuni nelja aasta jooksul arvates PRIA poolt </w:t>
            </w:r>
            <w:r w:rsidRPr="00B02484">
              <w:rPr>
                <w:rFonts w:ascii="Times New Roman" w:eastAsia="Times New Roman" w:hAnsi="Times New Roman" w:cs="Times New Roman"/>
                <w:lang w:eastAsia="et-EE"/>
              </w:rPr>
              <w:lastRenderedPageBreak/>
              <w:t>projektitaotluse rahuldamise otsuse tegemisest, kuid hiljemalt 31. detsembril 2022.</w:t>
            </w:r>
          </w:p>
          <w:p w:rsidR="005430C1" w:rsidRPr="00B02484" w:rsidRDefault="005430C1" w:rsidP="005430C1">
            <w:pPr>
              <w:pStyle w:val="Loendilik"/>
              <w:numPr>
                <w:ilvl w:val="0"/>
                <w:numId w:val="10"/>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Projektitoetuse saaja viib ellu § 29 lõikes 1 nimetatud koostööprojektis kavandatud tegevuse või teeb investeeringu ja esitab PRIAle elektrooniliselt PRIA e-keskkonna kaudu selle tegevuse elluviimist või investeeringu tegemist tõendavad dokumendid kalendriaastas kuni neljas osas ühe taotluse kohta kuni kolme aasta jooksul arvates PRIA poolt projektitaotluse rahuldamise otsuse tegemisest, kuid hiljemalt 31. detsembril 2022.</w:t>
            </w:r>
          </w:p>
          <w:p w:rsidR="005430C1" w:rsidRPr="00B02484" w:rsidRDefault="005430C1" w:rsidP="005430C1">
            <w:pPr>
              <w:pStyle w:val="Loendilik"/>
              <w:numPr>
                <w:ilvl w:val="0"/>
                <w:numId w:val="10"/>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Kui investeeringuobjekt ostetakse liisingulepingu alusel, viib projektitoetuse saaja tegevuse ellu ja esitab selle tegemist tõendavad dokumendid kalendriaastas kuni neljas osas ühe taotluse kohta kuni viie aasta jooksul arvates PRIA poolt projektitaotluse rahuldamise otsuse tegemisest, kuid hiljemalt 30. juunil 2023.</w:t>
            </w:r>
          </w:p>
          <w:p w:rsidR="005430C1" w:rsidRPr="00B02484" w:rsidRDefault="005430C1" w:rsidP="005430C1">
            <w:pPr>
              <w:pStyle w:val="Loendilik"/>
              <w:numPr>
                <w:ilvl w:val="0"/>
                <w:numId w:val="10"/>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 xml:space="preserve"> Projektitoetuse saaja suhtes ei ole algatatud likvideerimismenetlust ega kohtuotsusega välja kuulutatud pankrotti.</w:t>
            </w:r>
          </w:p>
          <w:p w:rsidR="005430C1" w:rsidRPr="00B02484" w:rsidRDefault="005430C1" w:rsidP="005430C1">
            <w:pPr>
              <w:pStyle w:val="Loendilik"/>
              <w:numPr>
                <w:ilvl w:val="0"/>
                <w:numId w:val="10"/>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Projektitoetuse saajal ei tohi olla riikliku maksu võlga või tema riikliku maksu võla tasumine on ajatatud ja maksuvõla tasumise ajatamise korral on maksuvõlg, mille tasumise tähtaeg on möödunud, tasutud ettenähtud summas.</w:t>
            </w:r>
          </w:p>
          <w:p w:rsidR="005430C1" w:rsidRPr="00B02484" w:rsidRDefault="005430C1" w:rsidP="005430C1">
            <w:pPr>
              <w:pStyle w:val="Loendilik"/>
              <w:numPr>
                <w:ilvl w:val="0"/>
                <w:numId w:val="10"/>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Projektitoetuse saaja on kohustatud:</w:t>
            </w:r>
          </w:p>
          <w:p w:rsidR="005430C1" w:rsidRPr="00B02484" w:rsidRDefault="005430C1" w:rsidP="005430C1">
            <w:pPr>
              <w:pStyle w:val="Loendilik"/>
              <w:numPr>
                <w:ilvl w:val="0"/>
                <w:numId w:val="11"/>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võtma projektitoetuse abil tehtud investeeringu sihtotstarbeliselt kasutusse kahe aasta jooksul, välja arvatud juhul, kui strateegia või § 7 lõike 3 punkti 5 kohaselt on ette nähtud pikem tähtaeg, kuid hiljemalt 30. juuniks 2023. aastal;</w:t>
            </w:r>
          </w:p>
          <w:p w:rsidR="005430C1" w:rsidRPr="00B02484" w:rsidRDefault="005430C1" w:rsidP="005430C1">
            <w:pPr>
              <w:pStyle w:val="Loendilik"/>
              <w:numPr>
                <w:ilvl w:val="0"/>
                <w:numId w:val="11"/>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säilitama ja kasutama sihipäraselt projektitoetuse eest ostetud investeeringuobjekti vähemalt viie aasta jooksul arvates PRIA poolt viimase toetusosa väljamaksmisest;</w:t>
            </w:r>
          </w:p>
          <w:p w:rsidR="005430C1" w:rsidRPr="00B02484" w:rsidRDefault="005430C1" w:rsidP="005430C1">
            <w:pPr>
              <w:pStyle w:val="Loendilik"/>
              <w:numPr>
                <w:ilvl w:val="0"/>
                <w:numId w:val="11"/>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 xml:space="preserve"> täitma vabatahtliku tasustamata töö tegemise tõendamiseks töö tegija ja projektitoetuse taotleja poolt allkirjastatud päevikut, milles kajastatakse töö kirjeldus, tehtud töö maht, töö tegemise aeg, tehtava töö ühiku hind, töö tegijad, töö tegemiseks kulunud aeg ja vajaduse korral andmed vabatahtliku tasustamata töö tegemisel kasutatud masina, seadme või mootorsõiduki kohta;</w:t>
            </w:r>
          </w:p>
          <w:p w:rsidR="005430C1" w:rsidRPr="00B02484" w:rsidRDefault="005430C1" w:rsidP="005430C1">
            <w:pPr>
              <w:pStyle w:val="Loendilik"/>
              <w:numPr>
                <w:ilvl w:val="0"/>
                <w:numId w:val="11"/>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eristama selgelt oma raamatupidamises projektitoetuse kasutamisega seotud kulud ning neid kajastavad kulu- ja maksedokumendid muudest kulu- ja maksedokumentidest;</w:t>
            </w:r>
          </w:p>
          <w:p w:rsidR="005430C1" w:rsidRPr="00B02484" w:rsidRDefault="005430C1" w:rsidP="005430C1">
            <w:pPr>
              <w:pStyle w:val="Loendilik"/>
              <w:numPr>
                <w:ilvl w:val="0"/>
                <w:numId w:val="11"/>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võimaldama teostada projektitoetuse sihipärase ja tähtaegse kasutamise üle järelevalvet ja teha muid toetuse saamisega seotud kontrolle ning osutama selleks igakülgset abi, sealhulgas võimaldama viibida projektitoetuse saaja kinnisasjal, ehitises ja ruumis ning läbi vaadata dokumente ja toetuse abil ostetud vara kohapeal;</w:t>
            </w:r>
          </w:p>
          <w:p w:rsidR="005430C1" w:rsidRPr="00B02484" w:rsidRDefault="005430C1" w:rsidP="005430C1">
            <w:pPr>
              <w:pStyle w:val="Loendilik"/>
              <w:numPr>
                <w:ilvl w:val="0"/>
                <w:numId w:val="11"/>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teavitama PRIAt viivitamata kirjalikult käibemaksukohustuslaseks registreerimisest käibemaksuseaduse § 20 alusel kuni viie aasta jooksul arvates PRIA poolt viimase toetusosa väljamaksmisest, kui projektitoetuse saaja on saanud toetust käibemaksu kohta;</w:t>
            </w:r>
          </w:p>
          <w:p w:rsidR="005430C1" w:rsidRPr="00B02484" w:rsidRDefault="005430C1" w:rsidP="005430C1">
            <w:pPr>
              <w:pStyle w:val="Loendilik"/>
              <w:numPr>
                <w:ilvl w:val="0"/>
                <w:numId w:val="11"/>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esitama projektitoetuse kasutamisega seotud seireks vajalikku teavet kohaliku tegevusgrupi või PRIA nõudmisel;</w:t>
            </w:r>
          </w:p>
          <w:p w:rsidR="005430C1" w:rsidRPr="00B02484" w:rsidRDefault="005430C1" w:rsidP="005430C1">
            <w:pPr>
              <w:pStyle w:val="Loendilik"/>
              <w:numPr>
                <w:ilvl w:val="0"/>
                <w:numId w:val="11"/>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vastama Euroopa Parlamendi ja nõukogu määruse (EL) nr 1305/2013 III jaotise I peatükis ja strateegia meetmes nimetatud nõuetele ning riigiabi reeglitest tulenevatele nõuetele;</w:t>
            </w:r>
          </w:p>
          <w:p w:rsidR="005430C1" w:rsidRPr="00B02484" w:rsidRDefault="005430C1" w:rsidP="005430C1">
            <w:pPr>
              <w:pStyle w:val="Loendilik"/>
              <w:numPr>
                <w:ilvl w:val="0"/>
                <w:numId w:val="11"/>
              </w:numPr>
              <w:spacing w:after="0" w:line="240" w:lineRule="auto"/>
              <w:rPr>
                <w:rFonts w:ascii="Times New Roman" w:eastAsia="Times New Roman" w:hAnsi="Times New Roman" w:cs="Times New Roman"/>
                <w:lang w:eastAsia="et-EE"/>
              </w:rPr>
            </w:pPr>
            <w:r w:rsidRPr="00B02484">
              <w:rPr>
                <w:rFonts w:ascii="Times New Roman" w:eastAsia="Times New Roman" w:hAnsi="Times New Roman" w:cs="Times New Roman"/>
                <w:lang w:eastAsia="et-EE"/>
              </w:rPr>
              <w:t>omama ehitise kohta ehitusluba või ehitisteatist, kui see on nõutav ehitusseadustiku kohaselt</w:t>
            </w:r>
          </w:p>
        </w:tc>
      </w:tr>
    </w:tbl>
    <w:p w:rsidR="006F44DB" w:rsidRPr="00B02484" w:rsidRDefault="006F44DB">
      <w:pPr>
        <w:rPr>
          <w:rFonts w:ascii="Times New Roman" w:hAnsi="Times New Roman" w:cs="Times New Roman"/>
        </w:rPr>
      </w:pPr>
    </w:p>
    <w:sectPr w:rsidR="006F44DB" w:rsidRPr="00B02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E60"/>
    <w:multiLevelType w:val="hybridMultilevel"/>
    <w:tmpl w:val="29980978"/>
    <w:lvl w:ilvl="0" w:tplc="967CA42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
    <w:nsid w:val="08B0797B"/>
    <w:multiLevelType w:val="hybridMultilevel"/>
    <w:tmpl w:val="D41A7FA0"/>
    <w:lvl w:ilvl="0" w:tplc="BC0810EE">
      <w:start w:val="1"/>
      <w:numFmt w:val="decimal"/>
      <w:lvlText w:val="%1)"/>
      <w:lvlJc w:val="left"/>
      <w:pPr>
        <w:ind w:left="1410" w:hanging="360"/>
      </w:pPr>
      <w:rPr>
        <w:rFonts w:hint="default"/>
      </w:rPr>
    </w:lvl>
    <w:lvl w:ilvl="1" w:tplc="04250019" w:tentative="1">
      <w:start w:val="1"/>
      <w:numFmt w:val="lowerLetter"/>
      <w:lvlText w:val="%2."/>
      <w:lvlJc w:val="left"/>
      <w:pPr>
        <w:ind w:left="2130" w:hanging="360"/>
      </w:pPr>
    </w:lvl>
    <w:lvl w:ilvl="2" w:tplc="0425001B" w:tentative="1">
      <w:start w:val="1"/>
      <w:numFmt w:val="lowerRoman"/>
      <w:lvlText w:val="%3."/>
      <w:lvlJc w:val="right"/>
      <w:pPr>
        <w:ind w:left="2850" w:hanging="180"/>
      </w:pPr>
    </w:lvl>
    <w:lvl w:ilvl="3" w:tplc="0425000F" w:tentative="1">
      <w:start w:val="1"/>
      <w:numFmt w:val="decimal"/>
      <w:lvlText w:val="%4."/>
      <w:lvlJc w:val="left"/>
      <w:pPr>
        <w:ind w:left="3570" w:hanging="360"/>
      </w:pPr>
    </w:lvl>
    <w:lvl w:ilvl="4" w:tplc="04250019" w:tentative="1">
      <w:start w:val="1"/>
      <w:numFmt w:val="lowerLetter"/>
      <w:lvlText w:val="%5."/>
      <w:lvlJc w:val="left"/>
      <w:pPr>
        <w:ind w:left="4290" w:hanging="360"/>
      </w:pPr>
    </w:lvl>
    <w:lvl w:ilvl="5" w:tplc="0425001B" w:tentative="1">
      <w:start w:val="1"/>
      <w:numFmt w:val="lowerRoman"/>
      <w:lvlText w:val="%6."/>
      <w:lvlJc w:val="right"/>
      <w:pPr>
        <w:ind w:left="5010" w:hanging="180"/>
      </w:pPr>
    </w:lvl>
    <w:lvl w:ilvl="6" w:tplc="0425000F" w:tentative="1">
      <w:start w:val="1"/>
      <w:numFmt w:val="decimal"/>
      <w:lvlText w:val="%7."/>
      <w:lvlJc w:val="left"/>
      <w:pPr>
        <w:ind w:left="5730" w:hanging="360"/>
      </w:pPr>
    </w:lvl>
    <w:lvl w:ilvl="7" w:tplc="04250019" w:tentative="1">
      <w:start w:val="1"/>
      <w:numFmt w:val="lowerLetter"/>
      <w:lvlText w:val="%8."/>
      <w:lvlJc w:val="left"/>
      <w:pPr>
        <w:ind w:left="6450" w:hanging="360"/>
      </w:pPr>
    </w:lvl>
    <w:lvl w:ilvl="8" w:tplc="0425001B" w:tentative="1">
      <w:start w:val="1"/>
      <w:numFmt w:val="lowerRoman"/>
      <w:lvlText w:val="%9."/>
      <w:lvlJc w:val="right"/>
      <w:pPr>
        <w:ind w:left="7170" w:hanging="180"/>
      </w:pPr>
    </w:lvl>
  </w:abstractNum>
  <w:abstractNum w:abstractNumId="2">
    <w:nsid w:val="0EC5585B"/>
    <w:multiLevelType w:val="hybridMultilevel"/>
    <w:tmpl w:val="1F58D138"/>
    <w:lvl w:ilvl="0" w:tplc="25DA920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84077AB"/>
    <w:multiLevelType w:val="hybridMultilevel"/>
    <w:tmpl w:val="D6169B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8377674"/>
    <w:multiLevelType w:val="hybridMultilevel"/>
    <w:tmpl w:val="E7064E14"/>
    <w:lvl w:ilvl="0" w:tplc="28989EF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29711262"/>
    <w:multiLevelType w:val="hybridMultilevel"/>
    <w:tmpl w:val="D036271E"/>
    <w:lvl w:ilvl="0" w:tplc="967CA42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6">
    <w:nsid w:val="3BD101E0"/>
    <w:multiLevelType w:val="hybridMultilevel"/>
    <w:tmpl w:val="A6A803E0"/>
    <w:lvl w:ilvl="0" w:tplc="5D68C900">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7E60973"/>
    <w:multiLevelType w:val="hybridMultilevel"/>
    <w:tmpl w:val="4B1A93DC"/>
    <w:lvl w:ilvl="0" w:tplc="BC1AD7F4">
      <w:start w:val="1"/>
      <w:numFmt w:val="decimal"/>
      <w:lvlText w:val="%1."/>
      <w:lvlJc w:val="left"/>
      <w:pPr>
        <w:ind w:left="720" w:hanging="360"/>
      </w:pPr>
      <w:rPr>
        <w:rFonts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3192DAA"/>
    <w:multiLevelType w:val="hybridMultilevel"/>
    <w:tmpl w:val="3B96745A"/>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C6319BB"/>
    <w:multiLevelType w:val="hybridMultilevel"/>
    <w:tmpl w:val="1F58D138"/>
    <w:lvl w:ilvl="0" w:tplc="25DA920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D59585A"/>
    <w:multiLevelType w:val="hybridMultilevel"/>
    <w:tmpl w:val="728841E4"/>
    <w:lvl w:ilvl="0" w:tplc="24FE82A4">
      <w:start w:val="1"/>
      <w:numFmt w:val="decimal"/>
      <w:lvlText w:val="%1."/>
      <w:lvlJc w:val="left"/>
      <w:pPr>
        <w:ind w:left="720" w:hanging="360"/>
      </w:pPr>
      <w:rPr>
        <w:rFonts w:eastAsiaTheme="minorHAns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04430D1"/>
    <w:multiLevelType w:val="hybridMultilevel"/>
    <w:tmpl w:val="8D1608F2"/>
    <w:lvl w:ilvl="0" w:tplc="B75A6E30">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11618C4"/>
    <w:multiLevelType w:val="hybridMultilevel"/>
    <w:tmpl w:val="D474E9D4"/>
    <w:lvl w:ilvl="0" w:tplc="F3F466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711F7FE6"/>
    <w:multiLevelType w:val="hybridMultilevel"/>
    <w:tmpl w:val="EAD45B58"/>
    <w:lvl w:ilvl="0" w:tplc="5D68C900">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7D144716"/>
    <w:multiLevelType w:val="hybridMultilevel"/>
    <w:tmpl w:val="5178FE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7"/>
  </w:num>
  <w:num w:numId="6">
    <w:abstractNumId w:val="0"/>
  </w:num>
  <w:num w:numId="7">
    <w:abstractNumId w:val="6"/>
  </w:num>
  <w:num w:numId="8">
    <w:abstractNumId w:val="12"/>
  </w:num>
  <w:num w:numId="9">
    <w:abstractNumId w:val="11"/>
  </w:num>
  <w:num w:numId="10">
    <w:abstractNumId w:val="10"/>
  </w:num>
  <w:num w:numId="11">
    <w:abstractNumId w:val="4"/>
  </w:num>
  <w:num w:numId="12">
    <w:abstractNumId w:val="2"/>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50"/>
    <w:rsid w:val="00034E65"/>
    <w:rsid w:val="000F0BCC"/>
    <w:rsid w:val="000F512D"/>
    <w:rsid w:val="001E33A0"/>
    <w:rsid w:val="0020080D"/>
    <w:rsid w:val="002906A6"/>
    <w:rsid w:val="0030239D"/>
    <w:rsid w:val="00350BDA"/>
    <w:rsid w:val="003575DF"/>
    <w:rsid w:val="003B3692"/>
    <w:rsid w:val="003D049B"/>
    <w:rsid w:val="004253EA"/>
    <w:rsid w:val="00426CD4"/>
    <w:rsid w:val="004821C0"/>
    <w:rsid w:val="00485903"/>
    <w:rsid w:val="0050403A"/>
    <w:rsid w:val="005430C1"/>
    <w:rsid w:val="005638C2"/>
    <w:rsid w:val="00572F20"/>
    <w:rsid w:val="005B25C5"/>
    <w:rsid w:val="006D2E11"/>
    <w:rsid w:val="006F44DB"/>
    <w:rsid w:val="00746431"/>
    <w:rsid w:val="00764A0F"/>
    <w:rsid w:val="007C6277"/>
    <w:rsid w:val="007E3C4C"/>
    <w:rsid w:val="00841A2A"/>
    <w:rsid w:val="00852916"/>
    <w:rsid w:val="00866D7F"/>
    <w:rsid w:val="009020B9"/>
    <w:rsid w:val="009C2517"/>
    <w:rsid w:val="00A441EE"/>
    <w:rsid w:val="00A70450"/>
    <w:rsid w:val="00AC7DF3"/>
    <w:rsid w:val="00B02484"/>
    <w:rsid w:val="00B20E3F"/>
    <w:rsid w:val="00B92FD1"/>
    <w:rsid w:val="00BA13EF"/>
    <w:rsid w:val="00BF5298"/>
    <w:rsid w:val="00C11BD0"/>
    <w:rsid w:val="00CF1DB7"/>
    <w:rsid w:val="00CF366F"/>
    <w:rsid w:val="00CF6C85"/>
    <w:rsid w:val="00D5551E"/>
    <w:rsid w:val="00E4665F"/>
    <w:rsid w:val="00E76135"/>
    <w:rsid w:val="00E90B2E"/>
    <w:rsid w:val="00EC0D95"/>
    <w:rsid w:val="00F10165"/>
    <w:rsid w:val="00F16889"/>
    <w:rsid w:val="00F37415"/>
    <w:rsid w:val="00F37A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70450"/>
    <w:pPr>
      <w:ind w:left="720"/>
      <w:contextualSpacing/>
    </w:pPr>
  </w:style>
  <w:style w:type="paragraph" w:styleId="Normaallaadveeb">
    <w:name w:val="Normal (Web)"/>
    <w:basedOn w:val="Normaallaad"/>
    <w:rsid w:val="00B92FD1"/>
    <w:pPr>
      <w:suppressAutoHyphens/>
      <w:autoSpaceDN w:val="0"/>
      <w:spacing w:after="0" w:line="240" w:lineRule="auto"/>
      <w:textAlignment w:val="baseline"/>
    </w:pPr>
    <w:rPr>
      <w:rFonts w:ascii="Times New Roman" w:eastAsia="Times New Roman" w:hAnsi="Times New Roman" w:cs="Calibri"/>
      <w:sz w:val="24"/>
      <w:szCs w:val="24"/>
      <w:lang w:val="en-US" w:eastAsia="ar-SA"/>
    </w:rPr>
  </w:style>
  <w:style w:type="paragraph" w:styleId="Jutumullitekst">
    <w:name w:val="Balloon Text"/>
    <w:basedOn w:val="Normaallaad"/>
    <w:link w:val="JutumullitekstMrk"/>
    <w:uiPriority w:val="99"/>
    <w:semiHidden/>
    <w:unhideWhenUsed/>
    <w:rsid w:val="00572F2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72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70450"/>
    <w:pPr>
      <w:ind w:left="720"/>
      <w:contextualSpacing/>
    </w:pPr>
  </w:style>
  <w:style w:type="paragraph" w:styleId="Normaallaadveeb">
    <w:name w:val="Normal (Web)"/>
    <w:basedOn w:val="Normaallaad"/>
    <w:rsid w:val="00B92FD1"/>
    <w:pPr>
      <w:suppressAutoHyphens/>
      <w:autoSpaceDN w:val="0"/>
      <w:spacing w:after="0" w:line="240" w:lineRule="auto"/>
      <w:textAlignment w:val="baseline"/>
    </w:pPr>
    <w:rPr>
      <w:rFonts w:ascii="Times New Roman" w:eastAsia="Times New Roman" w:hAnsi="Times New Roman" w:cs="Calibri"/>
      <w:sz w:val="24"/>
      <w:szCs w:val="24"/>
      <w:lang w:val="en-US" w:eastAsia="ar-SA"/>
    </w:rPr>
  </w:style>
  <w:style w:type="paragraph" w:styleId="Jutumullitekst">
    <w:name w:val="Balloon Text"/>
    <w:basedOn w:val="Normaallaad"/>
    <w:link w:val="JutumullitekstMrk"/>
    <w:uiPriority w:val="99"/>
    <w:semiHidden/>
    <w:unhideWhenUsed/>
    <w:rsid w:val="00572F2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72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9E5C-38EA-4225-A97D-20121EF7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4222</Words>
  <Characters>24488</Characters>
  <Application>Microsoft Office Word</Application>
  <DocSecurity>0</DocSecurity>
  <Lines>204</Lines>
  <Paragraphs>57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dc:creator>
  <cp:lastModifiedBy>Kerli Kanger</cp:lastModifiedBy>
  <cp:revision>2</cp:revision>
  <cp:lastPrinted>2016-03-17T13:14:00Z</cp:lastPrinted>
  <dcterms:created xsi:type="dcterms:W3CDTF">2017-08-01T10:52:00Z</dcterms:created>
  <dcterms:modified xsi:type="dcterms:W3CDTF">2017-08-01T10:52:00Z</dcterms:modified>
</cp:coreProperties>
</file>